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after="360"/>
        <w:jc w:val="center"/>
        <w:rPr>
          <w:rFonts w:ascii="黑体" w:hAnsi="黑体" w:eastAsia="黑体" w:cs="仿宋"/>
          <w:b/>
          <w:bCs/>
          <w:sz w:val="30"/>
          <w:szCs w:val="30"/>
        </w:rPr>
      </w:pPr>
      <w:r>
        <w:rPr>
          <w:rFonts w:hint="eastAsia" w:ascii="黑体" w:hAnsi="黑体" w:eastAsia="黑体" w:cs="仿宋"/>
          <w:b/>
          <w:bCs/>
          <w:sz w:val="30"/>
          <w:szCs w:val="30"/>
        </w:rPr>
        <w:t>个人破产视野下个人“执转破”的实效考察和制度构想</w:t>
      </w:r>
    </w:p>
    <w:p>
      <w:pPr>
        <w:spacing w:line="300" w:lineRule="auto"/>
        <w:jc w:val="center"/>
        <w:rPr>
          <w:rFonts w:ascii="楷体" w:hAnsi="楷体" w:eastAsia="楷体"/>
          <w:sz w:val="24"/>
          <w:szCs w:val="24"/>
        </w:rPr>
      </w:pPr>
      <w:r>
        <w:rPr>
          <w:rFonts w:hint="eastAsia" w:ascii="楷体" w:hAnsi="楷体" w:eastAsia="楷体"/>
          <w:sz w:val="24"/>
          <w:szCs w:val="24"/>
        </w:rPr>
        <w:t>胡阳</w:t>
      </w:r>
      <w:bookmarkStart w:id="1" w:name="_GoBack"/>
      <w:bookmarkEnd w:id="1"/>
      <w:r>
        <w:t xml:space="preserve">  </w:t>
      </w:r>
      <w:r>
        <w:rPr>
          <w:rFonts w:hint="eastAsia" w:ascii="楷体" w:hAnsi="楷体" w:eastAsia="楷体"/>
          <w:sz w:val="24"/>
          <w:szCs w:val="24"/>
        </w:rPr>
        <w:t>张雅雯</w:t>
      </w:r>
    </w:p>
    <w:p>
      <w:pPr>
        <w:spacing w:line="300" w:lineRule="auto"/>
        <w:rPr>
          <w:rFonts w:ascii="黑体" w:hAnsi="黑体" w:eastAsia="黑体"/>
          <w:b/>
          <w:bCs/>
        </w:rPr>
      </w:pPr>
      <w:r>
        <w:rPr>
          <w:rFonts w:hint="eastAsia" w:ascii="黑体" w:hAnsi="黑体" w:eastAsia="黑体"/>
          <w:b/>
          <w:bCs/>
        </w:rPr>
        <w:t>摘要：</w:t>
      </w:r>
    </w:p>
    <w:p>
      <w:pPr>
        <w:spacing w:line="360" w:lineRule="auto"/>
        <w:ind w:firstLine="420" w:firstLineChars="200"/>
        <w:jc w:val="left"/>
        <w:rPr>
          <w:rFonts w:ascii="楷体" w:hAnsi="楷体" w:eastAsia="楷体"/>
        </w:rPr>
      </w:pPr>
      <w:r>
        <w:rPr>
          <w:rFonts w:hint="eastAsia" w:ascii="楷体" w:hAnsi="楷体" w:eastAsia="楷体"/>
        </w:rPr>
        <w:t>个人破产制度的构建为解决个人执行不能问题提供有益参考，基于企业执行转破产机制的实践，探析个人执行不能转个人破产的可行路径，一方面能够推进个人破产程序的适用，使全体债权人获得整体性的平等受偿，另一方面也能够为诚实而不幸债务人提供债务履行宽限或债务免除利益，帮助经济困难债务人“重生”。</w:t>
      </w:r>
    </w:p>
    <w:p>
      <w:pPr>
        <w:spacing w:line="360" w:lineRule="auto"/>
        <w:ind w:firstLine="420" w:firstLineChars="200"/>
        <w:jc w:val="left"/>
        <w:rPr>
          <w:rFonts w:ascii="楷体" w:hAnsi="楷体" w:eastAsia="楷体"/>
        </w:rPr>
      </w:pPr>
      <w:r>
        <w:rPr>
          <w:rFonts w:hint="eastAsia" w:ascii="楷体" w:hAnsi="楷体" w:eastAsia="楷体"/>
        </w:rPr>
        <w:t>企业执行转破产为个人执行不能转破产提供充分经验，但个人破产与企业破产的差异性，决定个人执行转破产应具有其特殊性。第一，个人破产的清算免责制度将个人无限责任转化为有限责任，故个人执行不能转个人破产应当充分尊重债权人的意思表示，建立完善的债权人保护制度。第二，个人财产的隐私性决定考察个人破产原因是否存在时应当更加审慎，在个人执行不能转个人破产程序中，法院应当充分考察债务人的信誉及财产状况，并确保存在破产欺诈时的执行倒转程序。</w:t>
      </w:r>
    </w:p>
    <w:p>
      <w:pPr>
        <w:spacing w:line="360" w:lineRule="auto"/>
        <w:ind w:firstLine="420" w:firstLineChars="200"/>
        <w:jc w:val="left"/>
        <w:rPr>
          <w:rFonts w:ascii="楷体" w:hAnsi="楷体" w:eastAsia="楷体"/>
        </w:rPr>
      </w:pPr>
      <w:r>
        <w:rPr>
          <w:rFonts w:hint="eastAsia" w:ascii="楷体" w:hAnsi="楷体" w:eastAsia="楷体"/>
        </w:rPr>
        <w:t>民诉执行程序与个人破产程序的衔接适用能够解决目前司法机关堆置的大量自然人执行不能案件，系通过信用惩戒以外的方式实现债权人和债务人的利益平衡，有利于保障诚实而不幸债务人经济再生与债权人债权的高效实现。</w:t>
      </w:r>
    </w:p>
    <w:p>
      <w:pPr>
        <w:spacing w:line="360" w:lineRule="auto"/>
        <w:ind w:firstLine="422" w:firstLineChars="200"/>
        <w:jc w:val="left"/>
        <w:rPr>
          <w:rFonts w:ascii="黑体" w:hAnsi="黑体" w:eastAsia="黑体"/>
          <w:b/>
          <w:bCs/>
        </w:rPr>
      </w:pPr>
      <w:r>
        <w:rPr>
          <w:rFonts w:hint="eastAsia" w:ascii="黑体" w:hAnsi="黑体" w:eastAsia="黑体"/>
          <w:b/>
          <w:bCs/>
        </w:rPr>
        <w:t>关键词：</w:t>
      </w:r>
      <w:r>
        <w:rPr>
          <w:rFonts w:hint="eastAsia" w:ascii="楷体" w:hAnsi="楷体" w:eastAsia="楷体"/>
        </w:rPr>
        <w:t>个人破产；执行程序；执转破；参与分配；执行难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执行程序是生效裁判文书得以落实的重要环节，然而随我国诉讼案件持续大幅增长，确保生效裁判的执行以维护司法权威及司法公信力并保护胜诉当事人合法权益成为司法机关关注的热点问题。执行难问题成为我国司法领域长期诟病的一大难题。有数据显示，当前我国执行完毕案件仅占结案数总比35.09%，虽较以往有所增长，但仍不乐观。且从最高法公布数据来看，2017-2020年无财产可供执行案件在400-700万不等，没有财产可供执行案件在法定期限内执结率仅为3.08%，是导致我国执行程序被动终结的主要原因（如表1</w:t>
      </w:r>
      <w:r>
        <w:rPr>
          <w:rStyle w:val="12"/>
          <w:rFonts w:hint="eastAsia" w:ascii="宋体" w:hAnsi="宋体" w:eastAsia="宋体" w:cs="宋体"/>
          <w:sz w:val="24"/>
          <w:szCs w:val="24"/>
        </w:rPr>
        <w:footnoteReference w:id="0"/>
      </w:r>
      <w:r>
        <w:rPr>
          <w:rFonts w:hint="eastAsia" w:ascii="宋体" w:hAnsi="宋体" w:eastAsia="宋体" w:cs="宋体"/>
          <w:sz w:val="24"/>
          <w:szCs w:val="24"/>
        </w:rPr>
        <w:t>、图1</w:t>
      </w:r>
      <w:r>
        <w:rPr>
          <w:rStyle w:val="12"/>
          <w:rFonts w:hint="eastAsia" w:ascii="宋体" w:hAnsi="宋体" w:eastAsia="宋体" w:cs="宋体"/>
          <w:sz w:val="24"/>
          <w:szCs w:val="24"/>
        </w:rPr>
        <w:footnoteReference w:id="1"/>
      </w:r>
      <w:r>
        <w:rPr>
          <w:rFonts w:hint="eastAsia" w:ascii="宋体" w:hAnsi="宋体" w:eastAsia="宋体" w:cs="宋体"/>
          <w:sz w:val="24"/>
          <w:szCs w:val="24"/>
        </w:rPr>
        <w:t>）。</w:t>
      </w:r>
    </w:p>
    <w:p>
      <w:pPr>
        <w:spacing w:line="360" w:lineRule="auto"/>
        <w:ind w:firstLine="480" w:firstLineChars="200"/>
        <w:jc w:val="center"/>
        <w:rPr>
          <w:rFonts w:ascii="宋体" w:hAnsi="宋体" w:eastAsia="宋体" w:cs="宋体"/>
          <w:sz w:val="24"/>
          <w:szCs w:val="24"/>
        </w:rPr>
      </w:pPr>
      <w:r>
        <w:rPr>
          <w:rFonts w:hint="eastAsia" w:ascii="仿宋" w:hAnsi="仿宋" w:eastAsia="仿宋" w:cs="仿宋"/>
          <w:sz w:val="24"/>
          <w:szCs w:val="24"/>
        </w:rPr>
        <w:t xml:space="preserve">表 </w:t>
      </w:r>
      <w:r>
        <w:rPr>
          <w:rFonts w:ascii="仿宋" w:hAnsi="仿宋" w:eastAsia="仿宋" w:cs="仿宋"/>
          <w:sz w:val="24"/>
          <w:szCs w:val="24"/>
        </w:rPr>
        <w:fldChar w:fldCharType="begin"/>
      </w:r>
      <w:r>
        <w:rPr>
          <w:rFonts w:ascii="仿宋" w:hAnsi="仿宋" w:eastAsia="仿宋" w:cs="仿宋"/>
          <w:sz w:val="24"/>
          <w:szCs w:val="24"/>
        </w:rPr>
        <w:instrText xml:space="preserve"> </w:instrText>
      </w:r>
      <w:r>
        <w:rPr>
          <w:rFonts w:hint="eastAsia" w:ascii="仿宋" w:hAnsi="仿宋" w:eastAsia="仿宋" w:cs="仿宋"/>
          <w:sz w:val="24"/>
          <w:szCs w:val="24"/>
        </w:rPr>
        <w:instrText xml:space="preserve">SEQ 表格 \* ARABIC</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r>
        <w:rPr>
          <w:rFonts w:ascii="仿宋" w:hAnsi="仿宋" w:eastAsia="仿宋" w:cs="仿宋"/>
          <w:sz w:val="24"/>
          <w:szCs w:val="24"/>
        </w:rPr>
        <w:t>1</w:t>
      </w:r>
      <w:r>
        <w:rPr>
          <w:rFonts w:ascii="仿宋" w:hAnsi="仿宋" w:eastAsia="仿宋" w:cs="仿宋"/>
          <w:sz w:val="24"/>
          <w:szCs w:val="24"/>
        </w:rPr>
        <w:fldChar w:fldCharType="end"/>
      </w:r>
      <w:r>
        <w:rPr>
          <w:rFonts w:hint="eastAsia" w:ascii="仿宋" w:hAnsi="仿宋" w:eastAsia="仿宋" w:cs="仿宋"/>
          <w:sz w:val="24"/>
          <w:szCs w:val="24"/>
        </w:rPr>
        <w:t>：执行不能案件占执行终结裁定比例</w:t>
      </w:r>
    </w:p>
    <w:tbl>
      <w:tblPr>
        <w:tblStyle w:val="9"/>
        <w:tblW w:w="7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235"/>
        <w:gridCol w:w="1235"/>
        <w:gridCol w:w="1182"/>
        <w:gridCol w:w="1135"/>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428" w:type="dxa"/>
            <w:gridSpan w:val="6"/>
            <w:vAlign w:val="center"/>
          </w:tcPr>
          <w:p>
            <w:pPr>
              <w:spacing w:line="300" w:lineRule="auto"/>
              <w:jc w:val="center"/>
              <w:rPr>
                <w:rFonts w:ascii="楷体_GB2312" w:eastAsia="楷体_GB2312"/>
              </w:rPr>
            </w:pPr>
            <w:bookmarkStart w:id="0" w:name="_Hlk116407627"/>
            <w:r>
              <w:rPr>
                <w:rFonts w:hint="eastAsia" w:ascii="楷体_GB2312" w:eastAsia="楷体_GB2312"/>
              </w:rPr>
              <w:t>全国没有财产或财产执行不清无法执行裁定终结占比</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89" w:type="dxa"/>
            <w:vAlign w:val="center"/>
          </w:tcPr>
          <w:p>
            <w:pPr>
              <w:spacing w:line="300" w:lineRule="auto"/>
              <w:jc w:val="center"/>
              <w:rPr>
                <w:rFonts w:ascii="楷体_GB2312" w:eastAsia="楷体_GB2312"/>
              </w:rPr>
            </w:pPr>
            <w:r>
              <w:rPr>
                <w:rFonts w:hint="eastAsia" w:ascii="楷体_GB2312" w:eastAsia="楷体_GB2312"/>
              </w:rPr>
              <w:t>年份</w:t>
            </w:r>
          </w:p>
        </w:tc>
        <w:tc>
          <w:tcPr>
            <w:tcW w:w="1235" w:type="dxa"/>
            <w:vAlign w:val="center"/>
          </w:tcPr>
          <w:p>
            <w:pPr>
              <w:spacing w:line="300" w:lineRule="auto"/>
              <w:jc w:val="center"/>
              <w:rPr>
                <w:rFonts w:ascii="楷体_GB2312" w:eastAsia="楷体_GB2312"/>
              </w:rPr>
            </w:pPr>
            <w:r>
              <w:rPr>
                <w:rFonts w:hint="eastAsia" w:ascii="楷体_GB2312" w:eastAsia="楷体_GB2312"/>
              </w:rPr>
              <w:t>2012年</w:t>
            </w:r>
          </w:p>
        </w:tc>
        <w:tc>
          <w:tcPr>
            <w:tcW w:w="1235" w:type="dxa"/>
            <w:vAlign w:val="center"/>
          </w:tcPr>
          <w:p>
            <w:pPr>
              <w:spacing w:line="300" w:lineRule="auto"/>
              <w:jc w:val="center"/>
              <w:rPr>
                <w:rFonts w:ascii="楷体_GB2312" w:eastAsia="楷体_GB2312"/>
              </w:rPr>
            </w:pPr>
            <w:r>
              <w:rPr>
                <w:rFonts w:hint="eastAsia" w:ascii="楷体_GB2312" w:eastAsia="楷体_GB2312"/>
              </w:rPr>
              <w:t>2013年</w:t>
            </w:r>
          </w:p>
        </w:tc>
        <w:tc>
          <w:tcPr>
            <w:tcW w:w="1182" w:type="dxa"/>
            <w:vAlign w:val="center"/>
          </w:tcPr>
          <w:p>
            <w:pPr>
              <w:spacing w:line="300" w:lineRule="auto"/>
              <w:jc w:val="center"/>
              <w:rPr>
                <w:rFonts w:ascii="楷体_GB2312" w:eastAsia="楷体_GB2312"/>
              </w:rPr>
            </w:pPr>
            <w:r>
              <w:rPr>
                <w:rFonts w:hint="eastAsia" w:ascii="楷体_GB2312" w:eastAsia="楷体_GB2312"/>
              </w:rPr>
              <w:t>2014年</w:t>
            </w:r>
          </w:p>
        </w:tc>
        <w:tc>
          <w:tcPr>
            <w:tcW w:w="1135" w:type="dxa"/>
            <w:vAlign w:val="center"/>
          </w:tcPr>
          <w:p>
            <w:pPr>
              <w:spacing w:line="300" w:lineRule="auto"/>
              <w:jc w:val="center"/>
              <w:rPr>
                <w:rFonts w:ascii="楷体_GB2312" w:eastAsia="楷体_GB2312"/>
              </w:rPr>
            </w:pPr>
            <w:r>
              <w:rPr>
                <w:rFonts w:hint="eastAsia" w:ascii="楷体_GB2312" w:eastAsia="楷体_GB2312"/>
              </w:rPr>
              <w:t>2015年</w:t>
            </w:r>
          </w:p>
        </w:tc>
        <w:tc>
          <w:tcPr>
            <w:tcW w:w="2151" w:type="dxa"/>
            <w:vAlign w:val="center"/>
          </w:tcPr>
          <w:p>
            <w:pPr>
              <w:spacing w:line="300" w:lineRule="auto"/>
              <w:jc w:val="center"/>
              <w:rPr>
                <w:rFonts w:ascii="楷体_GB2312" w:eastAsia="楷体_GB2312"/>
              </w:rPr>
            </w:pPr>
            <w:r>
              <w:rPr>
                <w:rFonts w:hint="eastAsia" w:ascii="楷体_GB2312" w:eastAsia="楷体_GB2312"/>
              </w:rPr>
              <w:t>2016年与2017年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89" w:type="dxa"/>
            <w:vAlign w:val="center"/>
          </w:tcPr>
          <w:p>
            <w:pPr>
              <w:spacing w:line="300" w:lineRule="auto"/>
              <w:jc w:val="center"/>
              <w:rPr>
                <w:rFonts w:ascii="楷体_GB2312" w:eastAsia="楷体_GB2312"/>
              </w:rPr>
            </w:pPr>
            <w:r>
              <w:rPr>
                <w:rFonts w:hint="eastAsia" w:ascii="楷体_GB2312" w:eastAsia="楷体_GB2312"/>
              </w:rPr>
              <w:t>比例</w:t>
            </w:r>
          </w:p>
        </w:tc>
        <w:tc>
          <w:tcPr>
            <w:tcW w:w="1235" w:type="dxa"/>
            <w:vAlign w:val="center"/>
          </w:tcPr>
          <w:p>
            <w:pPr>
              <w:spacing w:line="300" w:lineRule="auto"/>
              <w:jc w:val="center"/>
              <w:rPr>
                <w:rFonts w:ascii="楷体_GB2312" w:eastAsia="楷体_GB2312"/>
              </w:rPr>
            </w:pPr>
            <w:r>
              <w:rPr>
                <w:rFonts w:hint="eastAsia" w:ascii="楷体_GB2312" w:eastAsia="楷体_GB2312"/>
              </w:rPr>
              <w:t>12.18%</w:t>
            </w:r>
          </w:p>
        </w:tc>
        <w:tc>
          <w:tcPr>
            <w:tcW w:w="1235" w:type="dxa"/>
            <w:vAlign w:val="center"/>
          </w:tcPr>
          <w:p>
            <w:pPr>
              <w:spacing w:line="300" w:lineRule="auto"/>
              <w:jc w:val="center"/>
              <w:rPr>
                <w:rFonts w:ascii="楷体_GB2312" w:eastAsia="楷体_GB2312"/>
              </w:rPr>
            </w:pPr>
            <w:r>
              <w:rPr>
                <w:rFonts w:hint="eastAsia" w:ascii="楷体_GB2312" w:eastAsia="楷体_GB2312"/>
              </w:rPr>
              <w:t>14.82%</w:t>
            </w:r>
          </w:p>
        </w:tc>
        <w:tc>
          <w:tcPr>
            <w:tcW w:w="1182" w:type="dxa"/>
            <w:vAlign w:val="center"/>
          </w:tcPr>
          <w:p>
            <w:pPr>
              <w:spacing w:line="300" w:lineRule="auto"/>
              <w:jc w:val="center"/>
              <w:rPr>
                <w:rFonts w:ascii="楷体_GB2312" w:eastAsia="楷体_GB2312"/>
              </w:rPr>
            </w:pPr>
            <w:r>
              <w:rPr>
                <w:rFonts w:hint="eastAsia" w:ascii="楷体_GB2312" w:eastAsia="楷体_GB2312"/>
              </w:rPr>
              <w:t>22.4%</w:t>
            </w:r>
          </w:p>
        </w:tc>
        <w:tc>
          <w:tcPr>
            <w:tcW w:w="1135" w:type="dxa"/>
            <w:vAlign w:val="center"/>
          </w:tcPr>
          <w:p>
            <w:pPr>
              <w:spacing w:line="300" w:lineRule="auto"/>
              <w:jc w:val="center"/>
              <w:rPr>
                <w:rFonts w:ascii="楷体_GB2312" w:eastAsia="楷体_GB2312"/>
              </w:rPr>
            </w:pPr>
            <w:r>
              <w:rPr>
                <w:rFonts w:hint="eastAsia" w:ascii="楷体_GB2312" w:eastAsia="楷体_GB2312"/>
              </w:rPr>
              <w:t>31.14%</w:t>
            </w:r>
          </w:p>
        </w:tc>
        <w:tc>
          <w:tcPr>
            <w:tcW w:w="2151" w:type="dxa"/>
            <w:vAlign w:val="center"/>
          </w:tcPr>
          <w:p>
            <w:pPr>
              <w:keepNext/>
              <w:spacing w:line="300" w:lineRule="auto"/>
              <w:jc w:val="center"/>
              <w:rPr>
                <w:rFonts w:ascii="楷体_GB2312" w:eastAsia="楷体_GB2312"/>
              </w:rPr>
            </w:pPr>
            <w:r>
              <w:rPr>
                <w:rFonts w:hint="eastAsia" w:ascii="楷体_GB2312" w:eastAsia="楷体_GB2312"/>
              </w:rPr>
              <w:t>43%</w:t>
            </w:r>
          </w:p>
        </w:tc>
      </w:tr>
    </w:tbl>
    <w:p>
      <w:pPr>
        <w:pStyle w:val="3"/>
        <w:rPr>
          <w:rFonts w:ascii="仿宋" w:hAnsi="仿宋" w:eastAsia="仿宋" w:cs="仿宋"/>
          <w:sz w:val="24"/>
          <w:szCs w:val="24"/>
        </w:rPr>
      </w:pPr>
      <w:r>
        <w:rPr>
          <w:rFonts w:hint="eastAsia" w:ascii="仿宋" w:hAnsi="仿宋" w:eastAsia="仿宋" w:cs="仿宋"/>
          <w:sz w:val="24"/>
          <w:szCs w:val="24"/>
        </w:rPr>
        <w:drawing>
          <wp:anchor distT="0" distB="0" distL="114300" distR="114300" simplePos="0" relativeHeight="251659264" behindDoc="0" locked="0" layoutInCell="1" allowOverlap="1">
            <wp:simplePos x="0" y="0"/>
            <wp:positionH relativeFrom="column">
              <wp:posOffset>565150</wp:posOffset>
            </wp:positionH>
            <wp:positionV relativeFrom="paragraph">
              <wp:posOffset>299085</wp:posOffset>
            </wp:positionV>
            <wp:extent cx="4178300" cy="2700655"/>
            <wp:effectExtent l="0" t="0" r="12700" b="444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ascii="仿宋" w:hAnsi="仿宋" w:eastAsia="仿宋" w:cs="仿宋"/>
          <w:sz w:val="24"/>
          <w:szCs w:val="24"/>
        </w:rPr>
        <w:pict>
          <v:shape id="文本框 2" o:spid="_x0000_s2052" o:spt="202" type="#_x0000_t202" style="position:absolute;left:0pt;margin-left:48.6pt;margin-top:242.35pt;height:0.05pt;width:324.55pt;mso-wrap-distance-bottom:0pt;mso-wrap-distance-top:0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nAQIAAP4DAAAOAAAAZHJzL2Uyb0RvYy54bWysU02P2yAQvVfqf0DcGydpd7uK4qzSrFJV&#10;WnVXylY9E4xjJGDoQGKnv74DtpN+napeYJgZ3vDeDMv7zhp2Uhg0uJLPJlPOlJNQaXco+ZeX7Zs7&#10;zkIUrhIGnCr5WQV+v3r9atn6hZpDA6ZSyAjEhUXrS97E6BdFEWSjrAgT8MpRsAa0ItIRD0WFoiV0&#10;a4r5dHpbtICVR5AqBPI+9EG+yvh1rWR8quugIjMlp7fFvGJe92ktVkuxOKDwjZbDM8Q/vMIK7ajo&#10;BepBRMGOqP+AsloiBKjjRIItoK61VJkDsZlNf2Oza4RXmQuJE/xFpvD/YOXn084/I4vdB+iogUmQ&#10;1odFIGfi09Vo004vZRQnCc8X2VQXmSTnu9l89v7uhjNJsdu3NwmjuF71GOJHBZYlo+RIPclSidNj&#10;iH3qmJIqBTC62mpj0iEFNgbZSVD/2kZHNYD/kmVcynWQbvWAyVNceSQrdvtuILeH6kycEfpxCF5u&#10;NRV6FCE+C6T+E02a6fhES22gLTkMFmcN4Pe/+VM+tYWinLU0TyUP344CFWfmk6OGpeEbDRyN/Wi4&#10;o90AUZzRb/Eym3QBoxnNGsF+pVFfpyoUEk5SrZLH0dzEfqrpq0i1XuckGjEv4qPbeZmgs7p+fYwk&#10;VBY+ydJrMahFQ5ZbN3yINMU/n3PW9duufgAAAP//AwBQSwMEFAAGAAgAAAAhAJB7cjDgAAAACgEA&#10;AA8AAABkcnMvZG93bnJldi54bWxMj7FOwzAQhnck3sE6JBZEHdooCSFOVVUwwFIRurC58TUOxOfI&#10;dtrw9hgWGO/u03/fX61nM7ATOt9bEnC3SIAhtVb11AnYvz3dFsB8kKTkYAkFfKGHdX15UclS2TO9&#10;4qkJHYsh5EspQIcwlpz7VqORfmFHpHg7WmdkiKPruHLyHMPNwJdJknEje4oftBxxq7H9bCYjYJe+&#10;7/TNdHx82aQr97yfttlH1whxfTVvHoAFnMMfDD/6UR3q6HSwEynPBgH3+TKSAtIizYFFIE+zFbDD&#10;76YAXlf8f4X6GwAA//8DAFBLAQItABQABgAIAAAAIQC2gziS/gAAAOEBAAATAAAAAAAAAAAAAAAA&#10;AAAAAABbQ29udGVudF9UeXBlc10ueG1sUEsBAi0AFAAGAAgAAAAhADj9If/WAAAAlAEAAAsAAAAA&#10;AAAAAAAAAAAALwEAAF9yZWxzLy5yZWxzUEsBAi0AFAAGAAgAAAAhANdz5ScBAgAA/gMAAA4AAAAA&#10;AAAAAAAAAAAALgIAAGRycy9lMm9Eb2MueG1sUEsBAi0AFAAGAAgAAAAhAJB7cjDgAAAACgEAAA8A&#10;AAAAAAAAAAAAAAAAWwQAAGRycy9kb3ducmV2LnhtbFBLBQYAAAAABAAEAPMAAABoBQAAAAA=&#10;">
            <v:path/>
            <v:fill focussize="0,0"/>
            <v:stroke on="f" joinstyle="miter"/>
            <v:imagedata o:title=""/>
            <o:lock v:ext="edit"/>
            <v:textbox inset="0mm,0mm,0mm,0mm" style="mso-fit-shape-to-text:t;">
              <w:txbxContent>
                <w:p>
                  <w:pPr>
                    <w:pStyle w:val="3"/>
                    <w:jc w:val="center"/>
                    <w:rPr>
                      <w:rFonts w:ascii="仿宋" w:hAnsi="仿宋" w:eastAsia="仿宋" w:cs="仿宋"/>
                      <w:sz w:val="24"/>
                      <w:szCs w:val="24"/>
                    </w:rPr>
                  </w:pPr>
                  <w:r>
                    <w:rPr>
                      <w:rFonts w:hint="eastAsia" w:ascii="仿宋" w:hAnsi="仿宋" w:eastAsia="仿宋" w:cs="仿宋"/>
                      <w:sz w:val="24"/>
                      <w:szCs w:val="24"/>
                    </w:rPr>
                    <w:t>图 1：2017-2021年裁定终结本次执行案件占比</w:t>
                  </w:r>
                </w:p>
              </w:txbxContent>
            </v:textbox>
            <w10:wrap type="topAndBottom"/>
          </v:shape>
        </w:pict>
      </w:r>
      <w:r>
        <w:rPr>
          <w:rFonts w:ascii="仿宋" w:hAnsi="仿宋" w:eastAsia="仿宋" w:cs="仿宋"/>
          <w:sz w:val="24"/>
          <w:szCs w:val="24"/>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当前针对个人执行不能案件多采用信用惩戒方式督促债务人履行，而对于债务人确存在履行不能的情况一般通过法院释明、说理的方式与申请执行人进行协商或以司法救助的方式对执行不能案件进行补位。此类案件最终由申请执行人承担执行不能的风险。如雁江法院钟某申请执行张某健康权纠纷案中，被执行人张某系当地精准扶贫贫困户且其年事已高，法院认定其符合“执行不能”的条件，并对其进行司法救助以解决执行不能问题，还有开江法院唐某甲申请执行唐某乙等民间借贷纠纷案中，被执行均为年逾六十岁的老人，且生活困难，法院认为其符合“执行不能”条件，最终由借款人承担执行不能之风险。</w:t>
      </w:r>
      <w:r>
        <w:rPr>
          <w:rStyle w:val="12"/>
          <w:rFonts w:hint="eastAsia" w:ascii="宋体" w:hAnsi="宋体" w:eastAsia="宋体" w:cs="宋体"/>
          <w:sz w:val="24"/>
          <w:szCs w:val="24"/>
        </w:rPr>
        <w:footnoteReference w:id="2"/>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执行程序以个别执行的模式解决债务人所负债务，不能从根本上解决债务人负累。我国司法实践所适用的执行转破产机制为我国解决“执行难”问题提供创新方案，执行转破产制度亦为破产程序的启动提供全新入口，一方面执行转破产能够有效化解当前企业当破不破，停滞于执行程序的困境，另一方面能够拓宽破产法的适用情形，激发破产制度对促进我国市场主体重生之功能。虽然当前我国并未正式建立个人破产制度，但及时做好民诉执行程序与个人破产制度的衔接适用，有利于个人破产目的之实现。</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一、理论基础：执行程序与个人破产的联结</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（一）关联：执行程序与个人破产之共性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执行程序与个人破产均具有债务清偿之功能，均为实现债权人债权之手段，执行程序通过强制手段要求被执行人履行债务，而个人破产则是在债务人财产不足以清偿全部债务时，通过和解、重整或清算的方式了结债权债务。二者均具有清偿债务之目的，而不解决实体的债权债务纠纷。从债务清偿角度来看，破产具有执行程序的属性，部分学者认为破产是一种概括的执行程序，即为全体债权人的利益而对债务人的全部财产进行的执行程序。</w:t>
      </w:r>
      <w:r>
        <w:rPr>
          <w:rStyle w:val="12"/>
          <w:rFonts w:hint="eastAsia" w:ascii="宋体" w:hAnsi="宋体" w:eastAsia="宋体" w:cs="宋体"/>
          <w:sz w:val="24"/>
          <w:szCs w:val="24"/>
        </w:rPr>
        <w:footnoteReference w:id="3"/>
      </w:r>
      <w:r>
        <w:rPr>
          <w:rFonts w:hint="eastAsia" w:ascii="宋体" w:hAnsi="宋体" w:eastAsia="宋体" w:cs="宋体"/>
          <w:sz w:val="24"/>
          <w:szCs w:val="24"/>
        </w:rPr>
        <w:t>二者之共性为执行程序与破产程序衔接的基础，根据最高人民法院发布的《民诉法解释》第511-513条的规定，当企业法人执行过程中发现存在破产原因，经被执行人或申请执行人之一同意，即可中止执行程序，转入破产程序进行债务清理，我国司法实践中已存在大量企业执行转破产案例，个人执行不能转个人破产机制的构建可吸收企业“执转破”之经验。</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（二）差异：执行程序与破产程序的适用界限之厘定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执行程序与破产程序虽然在债务清偿层面具有共性，但二者仍存在本质区别。首先，执行程序系属民事诉讼法之内容，而破产法则属于商法范畴，破产法具有激发市场经济活力的重要功能，而执行程序则是通过国家强制手段督促债务的履行，实现个别债权人的清偿。其次，执行程序与破产程序的基本原则不同，执行程序遵循“先到先得”的清偿规则，执行程序建立在债务人具有可供执行财产的基础上，而破产程序则是在债务人财产不足以清偿全部到期债务时，通过整体分配的方式使得债权人以公平受偿。</w:t>
      </w:r>
      <w:r>
        <w:rPr>
          <w:rStyle w:val="12"/>
          <w:rFonts w:hint="eastAsia" w:ascii="宋体" w:hAnsi="宋体" w:eastAsia="宋体" w:cs="宋体"/>
          <w:sz w:val="24"/>
          <w:szCs w:val="24"/>
        </w:rPr>
        <w:footnoteReference w:id="4"/>
      </w:r>
      <w:r>
        <w:rPr>
          <w:rFonts w:hint="eastAsia" w:ascii="宋体" w:hAnsi="宋体" w:eastAsia="宋体" w:cs="宋体"/>
          <w:sz w:val="24"/>
          <w:szCs w:val="24"/>
        </w:rPr>
        <w:t>再次，执行程序与个人破产的启动条件存在差异，债权人向法院提供具有执行内容的法律文书即可申请执行，而根据《深圳经济特区个人破产条例》，债务人申请个人破产必须满足“因生产经营、生活消费导致丧失清偿债务能力或者资产不足以清偿全部债务”，故在个人执行不能转个人破产过程中，法院仍需对债务人是否具有破产原因进行审查，二者的适用条件存在显著差异。</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（三）辨析：个人破产与参与分配制度的比较（如表2）</w:t>
      </w:r>
    </w:p>
    <w:p>
      <w:pPr>
        <w:tabs>
          <w:tab w:val="left" w:pos="2975"/>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参与分配制度是在被执行公民或者其他不能清偿所有债权，被执行人债权人依法向法院申请对执行财产按其债权性质或者债权数额按比例予以受偿的制度。参与分配的适用主体仅针对于自然人或其他非法人组织，而企业法人财产则不适用参与分配制度，依“执转破”程序对执行财产申请予以清偿或按照一般清偿原则予以执行。且参与分配制度仅针对申请执行债权人和特定的执行财产，非个人破产制度以债务人的全部财产对全体债权人进行公平清偿，对于未参与分配的债权人其权益难以得到切实保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参与分配系解决个人执行不能问题的临时性措施而非根本举措，个人破产制度是对参与分配制度的升格。当债务人存在破产原因时，就应当通过破产手段来实现全体债权人的公平受偿，而以采取参与分配制度规避破产程序的适用，实现个别债权人之利益。尤其在当今之中国，市场主体对于破产制度的理解有限，适用破产程序的积极性不高，破产程序的推进仍依赖于法院的释明与建议。破产程序启动难背景下，参与分配制度不可避免被过度适用，其制度效应与辐射效应很大程度上阻碍破产程序的实施。</w:t>
      </w:r>
      <w:r>
        <w:rPr>
          <w:rStyle w:val="12"/>
          <w:rFonts w:hint="eastAsia" w:ascii="宋体" w:hAnsi="宋体" w:eastAsia="宋体" w:cs="宋体"/>
          <w:sz w:val="24"/>
          <w:szCs w:val="24"/>
        </w:rPr>
        <w:footnoteReference w:id="5"/>
      </w:r>
    </w:p>
    <w:p>
      <w:pPr>
        <w:pStyle w:val="3"/>
        <w:jc w:val="center"/>
        <w:rPr>
          <w:rFonts w:ascii="仿宋" w:hAnsi="仿宋" w:eastAsia="仿宋" w:cs="仿宋"/>
          <w:sz w:val="24"/>
          <w:szCs w:val="24"/>
        </w:rPr>
      </w:pPr>
      <w:r>
        <w:rPr>
          <w:rFonts w:hint="eastAsia" w:ascii="仿宋" w:hAnsi="仿宋" w:eastAsia="仿宋" w:cs="仿宋"/>
          <w:sz w:val="24"/>
          <w:szCs w:val="24"/>
        </w:rPr>
        <w:t xml:space="preserve">表 </w:t>
      </w:r>
      <w:r>
        <w:rPr>
          <w:rFonts w:ascii="仿宋" w:hAnsi="仿宋" w:eastAsia="仿宋" w:cs="仿宋"/>
          <w:sz w:val="24"/>
          <w:szCs w:val="24"/>
        </w:rPr>
        <w:fldChar w:fldCharType="begin"/>
      </w:r>
      <w:r>
        <w:rPr>
          <w:rFonts w:ascii="仿宋" w:hAnsi="仿宋" w:eastAsia="仿宋" w:cs="仿宋"/>
          <w:sz w:val="24"/>
          <w:szCs w:val="24"/>
        </w:rPr>
        <w:instrText xml:space="preserve"> </w:instrText>
      </w:r>
      <w:r>
        <w:rPr>
          <w:rFonts w:hint="eastAsia" w:ascii="仿宋" w:hAnsi="仿宋" w:eastAsia="仿宋" w:cs="仿宋"/>
          <w:sz w:val="24"/>
          <w:szCs w:val="24"/>
        </w:rPr>
        <w:instrText xml:space="preserve">SEQ 表格 \* ARABIC</w:instrText>
      </w:r>
      <w:r>
        <w:rPr>
          <w:rFonts w:ascii="仿宋" w:hAnsi="仿宋" w:eastAsia="仿宋" w:cs="仿宋"/>
          <w:sz w:val="24"/>
          <w:szCs w:val="24"/>
        </w:rPr>
        <w:instrText xml:space="preserve"> </w:instrText>
      </w:r>
      <w:r>
        <w:rPr>
          <w:rFonts w:ascii="仿宋" w:hAnsi="仿宋" w:eastAsia="仿宋" w:cs="仿宋"/>
          <w:sz w:val="24"/>
          <w:szCs w:val="24"/>
        </w:rPr>
        <w:fldChar w:fldCharType="separate"/>
      </w:r>
      <w:r>
        <w:rPr>
          <w:rFonts w:ascii="仿宋" w:hAnsi="仿宋" w:eastAsia="仿宋" w:cs="仿宋"/>
          <w:sz w:val="24"/>
          <w:szCs w:val="24"/>
        </w:rPr>
        <w:t>2</w:t>
      </w:r>
      <w:r>
        <w:rPr>
          <w:rFonts w:ascii="仿宋" w:hAnsi="仿宋" w:eastAsia="仿宋" w:cs="仿宋"/>
          <w:sz w:val="24"/>
          <w:szCs w:val="24"/>
        </w:rPr>
        <w:fldChar w:fldCharType="end"/>
      </w:r>
      <w:r>
        <w:rPr>
          <w:rFonts w:hint="eastAsia" w:ascii="仿宋" w:hAnsi="仿宋" w:eastAsia="仿宋" w:cs="仿宋"/>
          <w:sz w:val="24"/>
          <w:szCs w:val="24"/>
        </w:rPr>
        <w:t>：参与分配制度与个人破产制度的比较</w:t>
      </w:r>
    </w:p>
    <w:tbl>
      <w:tblPr>
        <w:tblStyle w:val="17"/>
        <w:tblpPr w:leftFromText="180" w:rightFromText="180" w:vertAnchor="text" w:horzAnchor="margin" w:tblpXSpec="center" w:tblpY="64"/>
        <w:tblW w:w="8113"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81"/>
        <w:gridCol w:w="3188"/>
        <w:gridCol w:w="354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10" w:hRule="atLeast"/>
        </w:trPr>
        <w:tc>
          <w:tcPr>
            <w:tcW w:w="1381" w:type="dxa"/>
            <w:tcBorders>
              <w:top w:val="single" w:color="4F81BD" w:sz="8" w:space="0"/>
              <w:left w:val="single" w:color="4F81BD" w:sz="8" w:space="0"/>
              <w:bottom w:val="single" w:color="4F81BD" w:sz="8" w:space="0"/>
              <w:right w:val="nil"/>
              <w:insideV w:val="nil"/>
            </w:tcBorders>
            <w:shd w:val="clear" w:color="auto" w:fill="4F81BD"/>
          </w:tcPr>
          <w:p>
            <w:pPr>
              <w:spacing w:line="300" w:lineRule="auto"/>
              <w:rPr>
                <w:rFonts w:ascii="仿宋" w:hAnsi="仿宋" w:eastAsia="仿宋" w:cs="仿宋"/>
                <w:b w:val="0"/>
                <w:bCs w:val="0"/>
                <w:color w:val="FFFFFF"/>
              </w:rPr>
            </w:pPr>
          </w:p>
        </w:tc>
        <w:tc>
          <w:tcPr>
            <w:tcW w:w="3188" w:type="dxa"/>
            <w:tcBorders>
              <w:top w:val="single" w:color="4F81BD" w:sz="8" w:space="0"/>
              <w:left w:val="dotted" w:color="auto" w:sz="4" w:space="0"/>
              <w:bottom w:val="single" w:color="4F81BD" w:sz="8" w:space="0"/>
              <w:right w:val="nil"/>
              <w:insideV w:val="nil"/>
            </w:tcBorders>
            <w:shd w:val="clear" w:color="auto" w:fill="4F81BD"/>
          </w:tcPr>
          <w:p>
            <w:pPr>
              <w:spacing w:line="300" w:lineRule="auto"/>
              <w:jc w:val="center"/>
              <w:rPr>
                <w:rFonts w:ascii="仿宋" w:hAnsi="仿宋" w:eastAsia="仿宋" w:cs="仿宋"/>
                <w:b w:val="0"/>
                <w:bCs w:val="0"/>
                <w:color w:val="FFFFFF"/>
              </w:rPr>
            </w:pPr>
            <w:r>
              <w:rPr>
                <w:rFonts w:hint="eastAsia" w:ascii="仿宋" w:hAnsi="仿宋" w:eastAsia="仿宋" w:cs="仿宋"/>
                <w:b/>
                <w:bCs/>
                <w:color w:val="FFFFFF"/>
              </w:rPr>
              <w:t>参与分配制度</w:t>
            </w:r>
          </w:p>
        </w:tc>
        <w:tc>
          <w:tcPr>
            <w:tcW w:w="3544" w:type="dxa"/>
            <w:tcBorders>
              <w:top w:val="single" w:color="4F81BD" w:sz="8" w:space="0"/>
              <w:left w:val="dotted" w:color="auto" w:sz="4" w:space="0"/>
              <w:bottom w:val="single" w:color="4F81BD" w:sz="8" w:space="0"/>
              <w:right w:val="single" w:color="4F81BD" w:sz="8" w:space="0"/>
              <w:insideV w:val="nil"/>
            </w:tcBorders>
            <w:shd w:val="clear" w:color="auto" w:fill="4F81BD"/>
          </w:tcPr>
          <w:p>
            <w:pPr>
              <w:spacing w:line="300" w:lineRule="auto"/>
              <w:jc w:val="center"/>
              <w:rPr>
                <w:rFonts w:ascii="仿宋" w:hAnsi="仿宋" w:eastAsia="仿宋" w:cs="仿宋"/>
                <w:b w:val="0"/>
                <w:bCs w:val="0"/>
                <w:color w:val="FFFFFF"/>
              </w:rPr>
            </w:pPr>
            <w:r>
              <w:rPr>
                <w:rFonts w:hint="eastAsia" w:ascii="仿宋" w:hAnsi="仿宋" w:eastAsia="仿宋" w:cs="仿宋"/>
                <w:b/>
                <w:bCs/>
                <w:color w:val="FFFFFF"/>
              </w:rPr>
              <w:t>个人破产制度</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10" w:hRule="atLeast"/>
        </w:trPr>
        <w:tc>
          <w:tcPr>
            <w:tcW w:w="1381" w:type="dxa"/>
            <w:tcBorders>
              <w:top w:val="single" w:color="4F81BD" w:sz="8" w:space="0"/>
              <w:left w:val="single" w:color="4F81BD" w:sz="8" w:space="0"/>
              <w:bottom w:val="single" w:color="4F81BD" w:sz="8" w:space="0"/>
              <w:right w:val="dotted" w:color="auto" w:sz="4" w:space="0"/>
            </w:tcBorders>
            <w:shd w:val="clear" w:color="auto" w:fill="FFFFFF"/>
          </w:tcPr>
          <w:p>
            <w:pPr>
              <w:spacing w:line="300" w:lineRule="auto"/>
              <w:jc w:val="center"/>
              <w:rPr>
                <w:rFonts w:ascii="仿宋" w:hAnsi="仿宋" w:eastAsia="仿宋" w:cs="仿宋"/>
                <w:b w:val="0"/>
                <w:bCs w:val="0"/>
                <w:color w:val="000000"/>
              </w:rPr>
            </w:pPr>
            <w:r>
              <w:rPr>
                <w:rFonts w:hint="eastAsia" w:ascii="仿宋" w:hAnsi="仿宋" w:eastAsia="仿宋" w:cs="仿宋"/>
                <w:b/>
                <w:bCs/>
                <w:color w:val="000000"/>
              </w:rPr>
              <w:t>清偿对象</w:t>
            </w:r>
          </w:p>
        </w:tc>
        <w:tc>
          <w:tcPr>
            <w:tcW w:w="3188" w:type="dxa"/>
            <w:tcBorders>
              <w:top w:val="single" w:color="4F81BD" w:sz="8" w:space="0"/>
              <w:left w:val="dotted" w:color="auto" w:sz="4" w:space="0"/>
              <w:bottom w:val="single" w:color="4F81BD" w:sz="8" w:space="0"/>
              <w:right w:val="dotted" w:color="auto" w:sz="4"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申请执行人</w:t>
            </w:r>
          </w:p>
        </w:tc>
        <w:tc>
          <w:tcPr>
            <w:tcW w:w="3544" w:type="dxa"/>
            <w:tcBorders>
              <w:top w:val="single" w:color="4F81BD" w:sz="8" w:space="0"/>
              <w:left w:val="dotted" w:color="auto" w:sz="4" w:space="0"/>
              <w:bottom w:val="single" w:color="4F81BD" w:sz="8" w:space="0"/>
              <w:right w:val="single" w:color="4F81BD" w:sz="8"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申报债权人</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10" w:hRule="atLeast"/>
        </w:trPr>
        <w:tc>
          <w:tcPr>
            <w:tcW w:w="1381" w:type="dxa"/>
            <w:tcBorders>
              <w:top w:val="single" w:color="4F81BD" w:sz="8" w:space="0"/>
              <w:left w:val="single" w:color="4F81BD" w:sz="8" w:space="0"/>
              <w:bottom w:val="single" w:color="4F81BD" w:sz="8" w:space="0"/>
              <w:right w:val="dotted" w:color="auto" w:sz="4" w:space="0"/>
            </w:tcBorders>
            <w:shd w:val="clear" w:color="auto" w:fill="FFFFFF"/>
          </w:tcPr>
          <w:p>
            <w:pPr>
              <w:spacing w:line="300" w:lineRule="auto"/>
              <w:jc w:val="center"/>
              <w:rPr>
                <w:rFonts w:ascii="仿宋" w:hAnsi="仿宋" w:eastAsia="仿宋" w:cs="仿宋"/>
                <w:b w:val="0"/>
                <w:bCs w:val="0"/>
                <w:color w:val="000000"/>
              </w:rPr>
            </w:pPr>
            <w:r>
              <w:rPr>
                <w:rFonts w:hint="eastAsia" w:ascii="仿宋" w:hAnsi="仿宋" w:eastAsia="仿宋" w:cs="仿宋"/>
                <w:b/>
                <w:bCs/>
                <w:color w:val="000000"/>
              </w:rPr>
              <w:t>执行对象</w:t>
            </w:r>
          </w:p>
        </w:tc>
        <w:tc>
          <w:tcPr>
            <w:tcW w:w="3188" w:type="dxa"/>
            <w:tcBorders>
              <w:top w:val="single" w:color="4F81BD" w:sz="8" w:space="0"/>
              <w:left w:val="dotted" w:color="auto" w:sz="4" w:space="0"/>
              <w:bottom w:val="single" w:color="4F81BD" w:sz="8" w:space="0"/>
              <w:right w:val="dotted" w:color="auto" w:sz="4"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申请执行财产</w:t>
            </w:r>
          </w:p>
        </w:tc>
        <w:tc>
          <w:tcPr>
            <w:tcW w:w="3544" w:type="dxa"/>
            <w:tcBorders>
              <w:top w:val="single" w:color="4F81BD" w:sz="8" w:space="0"/>
              <w:left w:val="dotted" w:color="auto" w:sz="4" w:space="0"/>
              <w:bottom w:val="single" w:color="4F81BD" w:sz="8" w:space="0"/>
              <w:right w:val="single" w:color="4F81BD" w:sz="8"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债务人全部财产</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10" w:hRule="atLeast"/>
        </w:trPr>
        <w:tc>
          <w:tcPr>
            <w:tcW w:w="1381" w:type="dxa"/>
            <w:tcBorders>
              <w:top w:val="single" w:color="4F81BD" w:sz="8" w:space="0"/>
              <w:left w:val="single" w:color="4F81BD" w:sz="8" w:space="0"/>
              <w:bottom w:val="single" w:color="4F81BD" w:sz="8" w:space="0"/>
              <w:right w:val="dotted" w:color="auto" w:sz="4" w:space="0"/>
            </w:tcBorders>
            <w:shd w:val="clear" w:color="auto" w:fill="FFFFFF"/>
          </w:tcPr>
          <w:p>
            <w:pPr>
              <w:spacing w:line="300" w:lineRule="auto"/>
              <w:jc w:val="center"/>
              <w:rPr>
                <w:rFonts w:ascii="仿宋" w:hAnsi="仿宋" w:eastAsia="仿宋" w:cs="仿宋"/>
                <w:b w:val="0"/>
                <w:bCs w:val="0"/>
                <w:color w:val="000000"/>
              </w:rPr>
            </w:pPr>
            <w:r>
              <w:rPr>
                <w:rFonts w:hint="eastAsia" w:ascii="仿宋" w:hAnsi="仿宋" w:eastAsia="仿宋" w:cs="仿宋"/>
                <w:b/>
                <w:bCs/>
                <w:color w:val="000000"/>
              </w:rPr>
              <w:t>适用前提</w:t>
            </w:r>
          </w:p>
        </w:tc>
        <w:tc>
          <w:tcPr>
            <w:tcW w:w="3188" w:type="dxa"/>
            <w:tcBorders>
              <w:top w:val="single" w:color="4F81BD" w:sz="8" w:space="0"/>
              <w:left w:val="dotted" w:color="auto" w:sz="4" w:space="0"/>
              <w:bottom w:val="single" w:color="4F81BD" w:sz="8" w:space="0"/>
              <w:right w:val="dotted" w:color="auto" w:sz="4"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可供执行的法律文书</w:t>
            </w:r>
          </w:p>
        </w:tc>
        <w:tc>
          <w:tcPr>
            <w:tcW w:w="3544" w:type="dxa"/>
            <w:tcBorders>
              <w:top w:val="single" w:color="4F81BD" w:sz="8" w:space="0"/>
              <w:left w:val="dotted" w:color="auto" w:sz="4" w:space="0"/>
              <w:bottom w:val="single" w:color="4F81BD" w:sz="8" w:space="0"/>
              <w:right w:val="single" w:color="4F81BD" w:sz="8"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存在个人破产原因</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10" w:hRule="atLeast"/>
        </w:trPr>
        <w:tc>
          <w:tcPr>
            <w:tcW w:w="1381" w:type="dxa"/>
            <w:tcBorders>
              <w:top w:val="single" w:color="4F81BD" w:sz="8" w:space="0"/>
              <w:left w:val="single" w:color="4F81BD" w:sz="8" w:space="0"/>
              <w:bottom w:val="single" w:color="4F81BD" w:sz="8" w:space="0"/>
              <w:right w:val="dotted" w:color="auto" w:sz="4" w:space="0"/>
            </w:tcBorders>
            <w:shd w:val="clear" w:color="auto" w:fill="FFFFFF"/>
          </w:tcPr>
          <w:p>
            <w:pPr>
              <w:spacing w:line="300" w:lineRule="auto"/>
              <w:jc w:val="center"/>
              <w:rPr>
                <w:rFonts w:ascii="仿宋" w:hAnsi="仿宋" w:eastAsia="仿宋" w:cs="仿宋"/>
                <w:b w:val="0"/>
                <w:bCs w:val="0"/>
                <w:color w:val="000000"/>
              </w:rPr>
            </w:pPr>
            <w:r>
              <w:rPr>
                <w:rFonts w:hint="eastAsia" w:ascii="仿宋" w:hAnsi="仿宋" w:eastAsia="仿宋" w:cs="仿宋"/>
                <w:b/>
                <w:bCs/>
                <w:color w:val="000000"/>
              </w:rPr>
              <w:t>欺诈救济</w:t>
            </w:r>
          </w:p>
        </w:tc>
        <w:tc>
          <w:tcPr>
            <w:tcW w:w="3188" w:type="dxa"/>
            <w:tcBorders>
              <w:top w:val="single" w:color="4F81BD" w:sz="8" w:space="0"/>
              <w:left w:val="dotted" w:color="auto" w:sz="4" w:space="0"/>
              <w:bottom w:val="single" w:color="4F81BD" w:sz="8" w:space="0"/>
              <w:right w:val="dotted" w:color="auto" w:sz="4"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无</w:t>
            </w:r>
          </w:p>
        </w:tc>
        <w:tc>
          <w:tcPr>
            <w:tcW w:w="3544" w:type="dxa"/>
            <w:tcBorders>
              <w:top w:val="single" w:color="4F81BD" w:sz="8" w:space="0"/>
              <w:left w:val="dotted" w:color="auto" w:sz="4" w:space="0"/>
              <w:bottom w:val="single" w:color="4F81BD" w:sz="8" w:space="0"/>
              <w:right w:val="single" w:color="4F81BD" w:sz="8"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破产撤销权</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07" w:hRule="atLeast"/>
        </w:trPr>
        <w:tc>
          <w:tcPr>
            <w:tcW w:w="1381" w:type="dxa"/>
            <w:tcBorders>
              <w:top w:val="single" w:color="4F81BD" w:sz="8" w:space="0"/>
              <w:left w:val="single" w:color="4F81BD" w:sz="8" w:space="0"/>
              <w:bottom w:val="single" w:color="4F81BD" w:sz="8" w:space="0"/>
              <w:right w:val="dotted" w:color="auto" w:sz="4" w:space="0"/>
            </w:tcBorders>
            <w:shd w:val="clear" w:color="auto" w:fill="FFFFFF"/>
          </w:tcPr>
          <w:p>
            <w:pPr>
              <w:spacing w:line="300" w:lineRule="auto"/>
              <w:jc w:val="center"/>
              <w:rPr>
                <w:rFonts w:ascii="仿宋" w:hAnsi="仿宋" w:eastAsia="仿宋" w:cs="仿宋"/>
                <w:b w:val="0"/>
                <w:bCs w:val="0"/>
                <w:color w:val="000000"/>
              </w:rPr>
            </w:pPr>
            <w:r>
              <w:rPr>
                <w:rFonts w:hint="eastAsia" w:ascii="仿宋" w:hAnsi="仿宋" w:eastAsia="仿宋" w:cs="仿宋"/>
                <w:b/>
                <w:bCs/>
                <w:color w:val="000000"/>
              </w:rPr>
              <w:t>法律依据</w:t>
            </w:r>
          </w:p>
        </w:tc>
        <w:tc>
          <w:tcPr>
            <w:tcW w:w="3188" w:type="dxa"/>
            <w:tcBorders>
              <w:top w:val="single" w:color="4F81BD" w:sz="8" w:space="0"/>
              <w:left w:val="dotted" w:color="auto" w:sz="4" w:space="0"/>
              <w:bottom w:val="single" w:color="4F81BD" w:sz="8" w:space="0"/>
              <w:right w:val="dotted" w:color="auto" w:sz="4"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民事诉讼法</w:t>
            </w:r>
          </w:p>
        </w:tc>
        <w:tc>
          <w:tcPr>
            <w:tcW w:w="3544" w:type="dxa"/>
            <w:tcBorders>
              <w:top w:val="single" w:color="4F81BD" w:sz="8" w:space="0"/>
              <w:left w:val="dotted" w:color="auto" w:sz="4" w:space="0"/>
              <w:bottom w:val="single" w:color="4F81BD" w:sz="8" w:space="0"/>
              <w:right w:val="single" w:color="4F81BD" w:sz="8" w:space="0"/>
            </w:tcBorders>
            <w:shd w:val="clear" w:color="auto" w:fill="FFFFFF"/>
          </w:tcPr>
          <w:p>
            <w:pPr>
              <w:keepNext/>
              <w:spacing w:line="300" w:lineRule="auto"/>
              <w:jc w:val="center"/>
              <w:rPr>
                <w:rFonts w:ascii="仿宋" w:hAnsi="仿宋" w:eastAsia="仿宋" w:cs="仿宋"/>
                <w:color w:val="000000"/>
              </w:rPr>
            </w:pPr>
            <w:r>
              <w:rPr>
                <w:rFonts w:hint="eastAsia" w:ascii="仿宋" w:hAnsi="仿宋" w:eastAsia="仿宋" w:cs="仿宋"/>
                <w:color w:val="000000"/>
              </w:rPr>
              <w:t>破产法</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07" w:hRule="atLeast"/>
        </w:trPr>
        <w:tc>
          <w:tcPr>
            <w:tcW w:w="1381" w:type="dxa"/>
            <w:tcBorders>
              <w:top w:val="single" w:color="4F81BD" w:sz="8" w:space="0"/>
              <w:left w:val="single" w:color="4F81BD" w:sz="8" w:space="0"/>
              <w:bottom w:val="single" w:color="4F81BD" w:sz="8" w:space="0"/>
              <w:right w:val="dotted" w:color="auto" w:sz="4" w:space="0"/>
            </w:tcBorders>
            <w:shd w:val="clear" w:color="auto" w:fill="FFFFFF"/>
          </w:tcPr>
          <w:p>
            <w:pPr>
              <w:spacing w:line="300" w:lineRule="auto"/>
              <w:jc w:val="center"/>
              <w:rPr>
                <w:rFonts w:ascii="仿宋" w:hAnsi="仿宋" w:eastAsia="仿宋" w:cs="仿宋"/>
                <w:b/>
                <w:bCs/>
                <w:color w:val="000000"/>
              </w:rPr>
            </w:pPr>
            <w:r>
              <w:rPr>
                <w:rFonts w:hint="eastAsia" w:ascii="仿宋" w:hAnsi="仿宋" w:eastAsia="仿宋" w:cs="仿宋"/>
                <w:b/>
                <w:bCs/>
                <w:color w:val="000000"/>
              </w:rPr>
              <w:t>制度救济</w:t>
            </w:r>
          </w:p>
        </w:tc>
        <w:tc>
          <w:tcPr>
            <w:tcW w:w="3188" w:type="dxa"/>
            <w:tcBorders>
              <w:top w:val="single" w:color="4F81BD" w:sz="8" w:space="0"/>
              <w:left w:val="dotted" w:color="auto" w:sz="4" w:space="0"/>
              <w:bottom w:val="single" w:color="4F81BD" w:sz="8" w:space="0"/>
              <w:right w:val="dotted" w:color="auto" w:sz="4" w:space="0"/>
            </w:tcBorders>
            <w:shd w:val="clear" w:color="auto" w:fill="FFFFFF"/>
          </w:tcPr>
          <w:p>
            <w:pPr>
              <w:spacing w:line="300" w:lineRule="auto"/>
              <w:jc w:val="center"/>
              <w:rPr>
                <w:rFonts w:ascii="仿宋" w:hAnsi="仿宋" w:eastAsia="仿宋" w:cs="仿宋"/>
                <w:color w:val="000000"/>
              </w:rPr>
            </w:pPr>
            <w:r>
              <w:rPr>
                <w:rFonts w:hint="eastAsia" w:ascii="仿宋" w:hAnsi="仿宋" w:eastAsia="仿宋" w:cs="仿宋"/>
                <w:color w:val="000000"/>
              </w:rPr>
              <w:t>非终局性</w:t>
            </w:r>
          </w:p>
        </w:tc>
        <w:tc>
          <w:tcPr>
            <w:tcW w:w="3544" w:type="dxa"/>
            <w:tcBorders>
              <w:top w:val="single" w:color="4F81BD" w:sz="8" w:space="0"/>
              <w:left w:val="dotted" w:color="auto" w:sz="4" w:space="0"/>
              <w:bottom w:val="single" w:color="4F81BD" w:sz="8" w:space="0"/>
              <w:right w:val="single" w:color="4F81BD" w:sz="8" w:space="0"/>
            </w:tcBorders>
            <w:shd w:val="clear" w:color="auto" w:fill="FFFFFF"/>
          </w:tcPr>
          <w:p>
            <w:pPr>
              <w:keepNext/>
              <w:spacing w:line="300" w:lineRule="auto"/>
              <w:jc w:val="center"/>
              <w:rPr>
                <w:rFonts w:ascii="仿宋" w:hAnsi="仿宋" w:eastAsia="仿宋" w:cs="仿宋"/>
                <w:color w:val="000000"/>
              </w:rPr>
            </w:pPr>
            <w:r>
              <w:rPr>
                <w:rFonts w:hint="eastAsia" w:ascii="仿宋" w:hAnsi="仿宋" w:eastAsia="仿宋" w:cs="仿宋"/>
                <w:color w:val="000000"/>
              </w:rPr>
              <w:t>终局性</w:t>
            </w:r>
          </w:p>
        </w:tc>
      </w:tr>
    </w:tbl>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实际上，在我国探索个人破产制度构建过程中已然开展个人“执转破”实践，即以类个人破产模式进行个人债务清理。类个人破产制度系具有与个人破产制度相当功能的程序，弥补我国个人破产制度的空白。诚然，相较于个人破产制度而言，类个人破产仍以民事执行程序为基础，系执行不能后采取的债务清理措施，更近似个人执行转破产程序。2</w:t>
      </w:r>
      <w:r>
        <w:rPr>
          <w:rFonts w:ascii="宋体" w:hAnsi="宋体" w:eastAsia="宋体" w:cs="宋体"/>
          <w:sz w:val="24"/>
          <w:szCs w:val="24"/>
        </w:rPr>
        <w:t>020</w:t>
      </w:r>
      <w:r>
        <w:rPr>
          <w:rFonts w:hint="eastAsia" w:ascii="宋体" w:hAnsi="宋体" w:eastAsia="宋体" w:cs="宋体"/>
          <w:sz w:val="24"/>
          <w:szCs w:val="24"/>
        </w:rPr>
        <w:t>年1</w:t>
      </w:r>
      <w:r>
        <w:rPr>
          <w:rFonts w:ascii="宋体" w:hAnsi="宋体" w:eastAsia="宋体" w:cs="宋体"/>
          <w:sz w:val="24"/>
          <w:szCs w:val="24"/>
        </w:rPr>
        <w:t>2</w:t>
      </w:r>
      <w:r>
        <w:rPr>
          <w:rFonts w:hint="eastAsia" w:ascii="宋体" w:hAnsi="宋体" w:eastAsia="宋体" w:cs="宋体"/>
          <w:sz w:val="24"/>
          <w:szCs w:val="24"/>
        </w:rPr>
        <w:t>月，浙江省高院首次印发《浙江法院个人债务集中清理（类个人破产）工作指引》，浙江省各级法院是参照企业“执转破”经验，开展个人债务清理工作。基于个人破产制度逻辑，通过行为保全、制定清偿计划、设定诚信考察期限等具体措施，在个人债务清理程序中实现破产免责之法律效果（如表3</w:t>
      </w:r>
      <w:r>
        <w:rPr>
          <w:rStyle w:val="12"/>
          <w:rFonts w:ascii="宋体" w:hAnsi="宋体" w:eastAsia="宋体" w:cs="宋体"/>
          <w:sz w:val="24"/>
          <w:szCs w:val="24"/>
        </w:rPr>
        <w:footnoteReference w:id="6"/>
      </w:r>
      <w:r>
        <w:rPr>
          <w:rFonts w:hint="eastAsia" w:ascii="宋体" w:hAnsi="宋体" w:eastAsia="宋体" w:cs="宋体"/>
          <w:sz w:val="24"/>
          <w:szCs w:val="24"/>
        </w:rPr>
        <w:t>）。自2</w:t>
      </w:r>
      <w:r>
        <w:rPr>
          <w:rFonts w:ascii="宋体" w:hAnsi="宋体" w:eastAsia="宋体" w:cs="宋体"/>
          <w:sz w:val="24"/>
          <w:szCs w:val="24"/>
        </w:rPr>
        <w:t>020</w:t>
      </w:r>
      <w:r>
        <w:rPr>
          <w:rFonts w:hint="eastAsia" w:ascii="宋体" w:hAnsi="宋体" w:eastAsia="宋体" w:cs="宋体"/>
          <w:sz w:val="24"/>
          <w:szCs w:val="24"/>
        </w:rPr>
        <w:t>年以来，浙江、江苏等地类个人破产案件受理基数较小，仅有3</w:t>
      </w:r>
      <w:r>
        <w:rPr>
          <w:rFonts w:ascii="宋体" w:hAnsi="宋体" w:eastAsia="宋体" w:cs="宋体"/>
          <w:sz w:val="24"/>
          <w:szCs w:val="24"/>
        </w:rPr>
        <w:t>6</w:t>
      </w:r>
      <w:r>
        <w:rPr>
          <w:rFonts w:hint="eastAsia" w:ascii="宋体" w:hAnsi="宋体" w:eastAsia="宋体" w:cs="宋体"/>
          <w:sz w:val="24"/>
          <w:szCs w:val="24"/>
        </w:rPr>
        <w:t>件，但通过类个人破产制度进行个人债务清偿案件数确呈上升趋势，类个人破产制度在解决债权债务纠纷方面效果显著。</w:t>
      </w:r>
    </w:p>
    <w:p>
      <w:pPr>
        <w:pStyle w:val="3"/>
        <w:jc w:val="center"/>
        <w:rPr>
          <w:rFonts w:ascii="仿宋" w:hAnsi="仿宋" w:eastAsia="仿宋"/>
          <w:sz w:val="24"/>
          <w:szCs w:val="24"/>
        </w:rPr>
      </w:pPr>
      <w:r>
        <w:rPr>
          <w:rFonts w:ascii="仿宋" w:hAnsi="仿宋" w:eastAsia="仿宋"/>
          <w:sz w:val="24"/>
          <w:szCs w:val="24"/>
        </w:rPr>
        <w:t xml:space="preserve">表格 </w:t>
      </w:r>
      <w:r>
        <w:rPr>
          <w:rFonts w:ascii="仿宋" w:hAnsi="仿宋" w:eastAsia="仿宋"/>
          <w:sz w:val="24"/>
          <w:szCs w:val="24"/>
        </w:rPr>
        <w:fldChar w:fldCharType="begin"/>
      </w:r>
      <w:r>
        <w:rPr>
          <w:rFonts w:ascii="仿宋" w:hAnsi="仿宋" w:eastAsia="仿宋"/>
          <w:sz w:val="24"/>
          <w:szCs w:val="24"/>
        </w:rPr>
        <w:instrText xml:space="preserve"> SEQ 表格 \* ARABIC </w:instrText>
      </w:r>
      <w:r>
        <w:rPr>
          <w:rFonts w:ascii="仿宋" w:hAnsi="仿宋" w:eastAsia="仿宋"/>
          <w:sz w:val="24"/>
          <w:szCs w:val="24"/>
        </w:rPr>
        <w:fldChar w:fldCharType="separate"/>
      </w:r>
      <w:r>
        <w:rPr>
          <w:rFonts w:ascii="仿宋" w:hAnsi="仿宋" w:eastAsia="仿宋"/>
          <w:sz w:val="24"/>
          <w:szCs w:val="24"/>
        </w:rPr>
        <w:t>3</w:t>
      </w:r>
      <w:r>
        <w:rPr>
          <w:rFonts w:ascii="仿宋" w:hAnsi="仿宋" w:eastAsia="仿宋"/>
          <w:sz w:val="24"/>
          <w:szCs w:val="24"/>
        </w:rPr>
        <w:fldChar w:fldCharType="end"/>
      </w:r>
      <w:r>
        <w:rPr>
          <w:rFonts w:hint="eastAsia" w:ascii="仿宋" w:hAnsi="仿宋" w:eastAsia="仿宋"/>
          <w:sz w:val="24"/>
          <w:szCs w:val="24"/>
        </w:rPr>
        <w:t>：类个人破产制度案例分析</w:t>
      </w:r>
    </w:p>
    <w:tbl>
      <w:tblPr>
        <w:tblStyle w:val="9"/>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4139"/>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86" w:type="dxa"/>
            <w:tcBorders>
              <w:top w:val="single" w:color="4F81BD" w:sz="8" w:space="0"/>
              <w:left w:val="single" w:color="4F81BD" w:sz="8" w:space="0"/>
              <w:bottom w:val="single" w:color="4F81BD" w:sz="8" w:space="0"/>
              <w:right w:val="dotted" w:color="auto" w:sz="4" w:space="0"/>
            </w:tcBorders>
            <w:shd w:val="clear" w:color="auto" w:fill="4F81BD"/>
            <w:vAlign w:val="center"/>
          </w:tcPr>
          <w:p>
            <w:pPr>
              <w:spacing w:line="360" w:lineRule="auto"/>
              <w:jc w:val="center"/>
              <w:rPr>
                <w:rFonts w:ascii="仿宋_GB2312" w:hAnsi="仿宋_GB2312" w:eastAsia="仿宋_GB2312" w:cs="仿宋_GB2312"/>
                <w:b/>
                <w:bCs/>
                <w:color w:val="FFFFFF"/>
                <w:szCs w:val="21"/>
              </w:rPr>
            </w:pPr>
            <w:r>
              <w:rPr>
                <w:rFonts w:hint="eastAsia" w:ascii="仿宋_GB2312" w:hAnsi="仿宋_GB2312" w:eastAsia="仿宋_GB2312" w:cs="仿宋_GB2312"/>
                <w:b/>
                <w:bCs/>
                <w:color w:val="FFFFFF"/>
                <w:szCs w:val="21"/>
              </w:rPr>
              <w:t>案例</w:t>
            </w:r>
          </w:p>
        </w:tc>
        <w:tc>
          <w:tcPr>
            <w:tcW w:w="4139" w:type="dxa"/>
            <w:tcBorders>
              <w:top w:val="single" w:color="4F81BD" w:sz="8" w:space="0"/>
              <w:left w:val="dotted" w:color="auto" w:sz="4" w:space="0"/>
              <w:bottom w:val="single" w:color="4F81BD" w:sz="8" w:space="0"/>
              <w:right w:val="dotted" w:color="auto" w:sz="4" w:space="0"/>
            </w:tcBorders>
            <w:shd w:val="clear" w:color="auto" w:fill="4F81BD"/>
            <w:vAlign w:val="center"/>
          </w:tcPr>
          <w:p>
            <w:pPr>
              <w:spacing w:line="360" w:lineRule="auto"/>
              <w:jc w:val="center"/>
              <w:rPr>
                <w:rFonts w:ascii="仿宋_GB2312" w:hAnsi="仿宋_GB2312" w:eastAsia="仿宋_GB2312" w:cs="仿宋_GB2312"/>
                <w:b/>
                <w:bCs/>
                <w:color w:val="FFFFFF"/>
                <w:szCs w:val="21"/>
              </w:rPr>
            </w:pPr>
            <w:r>
              <w:rPr>
                <w:rFonts w:hint="eastAsia" w:ascii="仿宋_GB2312" w:hAnsi="仿宋_GB2312" w:eastAsia="仿宋_GB2312" w:cs="仿宋_GB2312"/>
                <w:b/>
                <w:bCs/>
                <w:color w:val="FFFFFF"/>
                <w:szCs w:val="21"/>
              </w:rPr>
              <w:t>基本案情</w:t>
            </w:r>
          </w:p>
        </w:tc>
        <w:tc>
          <w:tcPr>
            <w:tcW w:w="2771" w:type="dxa"/>
            <w:tcBorders>
              <w:top w:val="single" w:color="4F81BD" w:sz="8" w:space="0"/>
              <w:left w:val="dotted" w:color="auto" w:sz="4" w:space="0"/>
              <w:bottom w:val="single" w:color="4F81BD" w:sz="8" w:space="0"/>
              <w:right w:val="single" w:color="4F81BD" w:sz="8" w:space="0"/>
            </w:tcBorders>
            <w:shd w:val="clear" w:color="auto" w:fill="4F81BD"/>
            <w:vAlign w:val="center"/>
          </w:tcPr>
          <w:p>
            <w:pPr>
              <w:spacing w:line="360" w:lineRule="auto"/>
              <w:jc w:val="center"/>
              <w:rPr>
                <w:rFonts w:ascii="仿宋_GB2312" w:hAnsi="仿宋_GB2312" w:eastAsia="仿宋_GB2312" w:cs="仿宋_GB2312"/>
                <w:b/>
                <w:bCs/>
                <w:color w:val="FFFFFF"/>
                <w:szCs w:val="21"/>
              </w:rPr>
            </w:pPr>
            <w:r>
              <w:rPr>
                <w:rFonts w:hint="eastAsia" w:ascii="仿宋_GB2312" w:hAnsi="仿宋_GB2312" w:eastAsia="仿宋_GB2312" w:cs="仿宋_GB2312"/>
                <w:b/>
                <w:bCs/>
                <w:color w:val="FFFFFF"/>
                <w:szCs w:val="21"/>
              </w:rPr>
              <w:t>典型意义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1786" w:type="dxa"/>
            <w:tcBorders>
              <w:top w:val="single" w:color="4F81BD" w:sz="8" w:space="0"/>
              <w:left w:val="single" w:color="4F81BD" w:sz="8" w:space="0"/>
              <w:bottom w:val="single" w:color="4F81BD" w:sz="8" w:space="0"/>
              <w:right w:val="dotted" w:color="auto" w:sz="4" w:space="0"/>
            </w:tcBorders>
            <w:shd w:val="clear" w:color="auto" w:fill="FFFFFF"/>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黄某某个人债务清理案（</w:t>
            </w:r>
            <w:r>
              <w:rPr>
                <w:rFonts w:ascii="仿宋_GB2312" w:hAnsi="宋体" w:eastAsia="仿宋_GB2312" w:cs="宋体"/>
                <w:color w:val="000000"/>
                <w:szCs w:val="21"/>
              </w:rPr>
              <w:t>2019）浙10破1号</w:t>
            </w:r>
            <w:r>
              <w:rPr>
                <w:rFonts w:hint="eastAsia" w:ascii="仿宋_GB2312" w:hAnsi="宋体" w:eastAsia="仿宋_GB2312" w:cs="宋体"/>
                <w:color w:val="000000"/>
                <w:szCs w:val="21"/>
              </w:rPr>
              <w:t>民事裁定书</w:t>
            </w:r>
          </w:p>
        </w:tc>
        <w:tc>
          <w:tcPr>
            <w:tcW w:w="4139" w:type="dxa"/>
            <w:tcBorders>
              <w:top w:val="single" w:color="4F81BD" w:sz="8" w:space="0"/>
              <w:left w:val="dotted" w:color="auto" w:sz="4" w:space="0"/>
              <w:bottom w:val="single" w:color="4F81BD" w:sz="8" w:space="0"/>
              <w:right w:val="dotted" w:color="auto" w:sz="4" w:space="0"/>
            </w:tcBorders>
            <w:shd w:val="clear" w:color="auto" w:fill="FFFFFF"/>
            <w:vAlign w:val="center"/>
          </w:tcPr>
          <w:p>
            <w:pPr>
              <w:rPr>
                <w:rFonts w:ascii="仿宋_GB2312" w:hAnsi="宋体" w:eastAsia="仿宋_GB2312" w:cs="宋体"/>
                <w:color w:val="000000"/>
                <w:szCs w:val="21"/>
              </w:rPr>
            </w:pPr>
            <w:r>
              <w:rPr>
                <w:rFonts w:hint="eastAsia" w:ascii="仿宋_GB2312" w:hAnsi="宋体" w:eastAsia="仿宋_GB2312" w:cs="宋体"/>
                <w:color w:val="000000"/>
                <w:szCs w:val="21"/>
              </w:rPr>
              <w:t>黄某某因经营不善而导致企业生产经营状况恶化，因缺乏劳动能力而陷入债务困境无法清偿债务。债权人以其不能清偿到期债务和明显缺乏清偿能力为由，以执行转破产方式，申请对债务人进行破产清算，台州市中级人民法院受理该申请，但审查过程中管理人发现债务人存在隐瞒收入的情形，最终建议终结个人债务清理程序，并建议不终结执行程序。</w:t>
            </w:r>
          </w:p>
        </w:tc>
        <w:tc>
          <w:tcPr>
            <w:tcW w:w="2771" w:type="dxa"/>
            <w:tcBorders>
              <w:top w:val="single" w:color="4F81BD" w:sz="8" w:space="0"/>
              <w:left w:val="dotted" w:color="auto" w:sz="4" w:space="0"/>
              <w:bottom w:val="single" w:color="4F81BD" w:sz="8" w:space="0"/>
              <w:right w:val="single" w:color="4F81BD" w:sz="8" w:space="0"/>
            </w:tcBorders>
            <w:shd w:val="clear" w:color="auto" w:fill="FFFFFF"/>
            <w:vAlign w:val="center"/>
          </w:tcPr>
          <w:p>
            <w:pPr>
              <w:rPr>
                <w:rFonts w:ascii="仿宋_GB2312" w:hAnsi="宋体" w:eastAsia="仿宋_GB2312" w:cs="宋体"/>
                <w:color w:val="000000"/>
                <w:szCs w:val="21"/>
              </w:rPr>
            </w:pPr>
            <w:r>
              <w:rPr>
                <w:rFonts w:hint="eastAsia" w:ascii="仿宋_GB2312" w:hAnsi="宋体" w:eastAsia="仿宋_GB2312" w:cs="宋体"/>
                <w:color w:val="000000"/>
                <w:szCs w:val="21"/>
              </w:rPr>
              <w:t>本案系首例具有个人破产制度要素的个人债务清理案件。系债务人执行不能转个人债务清理。对于个人债务清理而言，应当严格审查债务人财产状况，打击逃避债务清偿的非诚信行为。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1786" w:type="dxa"/>
            <w:tcBorders>
              <w:top w:val="single" w:color="4F81BD" w:sz="8" w:space="0"/>
              <w:left w:val="single" w:color="4F81BD" w:sz="8" w:space="0"/>
              <w:bottom w:val="single" w:color="4F81BD" w:sz="8" w:space="0"/>
              <w:right w:val="dotted" w:color="auto" w:sz="4" w:space="0"/>
            </w:tcBorders>
            <w:shd w:val="clear" w:color="auto" w:fill="FFFFFF"/>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柯某文个人债务清理案（</w:t>
            </w:r>
            <w:r>
              <w:rPr>
                <w:rFonts w:ascii="仿宋_GB2312" w:hAnsi="宋体" w:eastAsia="仿宋_GB2312" w:cs="宋体"/>
                <w:color w:val="000000"/>
                <w:szCs w:val="21"/>
              </w:rPr>
              <w:t>2019）浙10破申8号民事裁定书</w:t>
            </w:r>
          </w:p>
        </w:tc>
        <w:tc>
          <w:tcPr>
            <w:tcW w:w="4139" w:type="dxa"/>
            <w:tcBorders>
              <w:top w:val="single" w:color="4F81BD" w:sz="8" w:space="0"/>
              <w:left w:val="dotted" w:color="auto" w:sz="4" w:space="0"/>
              <w:bottom w:val="single" w:color="4F81BD" w:sz="8" w:space="0"/>
              <w:right w:val="dotted" w:color="auto" w:sz="4" w:space="0"/>
            </w:tcBorders>
            <w:shd w:val="clear" w:color="auto" w:fill="FFFFFF"/>
            <w:vAlign w:val="center"/>
          </w:tcPr>
          <w:p>
            <w:pPr>
              <w:rPr>
                <w:rFonts w:ascii="仿宋_GB2312" w:hAnsi="宋体" w:eastAsia="仿宋_GB2312" w:cs="宋体"/>
                <w:color w:val="000000"/>
                <w:szCs w:val="21"/>
              </w:rPr>
            </w:pPr>
            <w:r>
              <w:rPr>
                <w:rFonts w:hint="eastAsia" w:ascii="仿宋_GB2312" w:hAnsi="宋体" w:eastAsia="仿宋_GB2312" w:cs="宋体"/>
                <w:color w:val="000000"/>
                <w:szCs w:val="21"/>
              </w:rPr>
              <w:t>柯某文因生意亏损而陷入偿债困境，后柯某文被纳入失信人员名单并被实施限制高消费等强制措施，银行账户被冻结，仅得靠打工零维持生计，其财产无法强制执行，债务始终未予清偿。债权人申请对柯某文进行个人债务清理，经管理人审查，其不存在失信行为，债权人对管理人提交财产调查报告与财产处置方案无异议，法院裁定终结柯某文个人债务清理程序和执行程序，并向其签发行为保全令。</w:t>
            </w:r>
          </w:p>
        </w:tc>
        <w:tc>
          <w:tcPr>
            <w:tcW w:w="2771" w:type="dxa"/>
            <w:tcBorders>
              <w:top w:val="single" w:color="4F81BD" w:sz="8" w:space="0"/>
              <w:left w:val="dotted" w:color="auto" w:sz="4" w:space="0"/>
              <w:bottom w:val="single" w:color="4F81BD" w:sz="8" w:space="0"/>
              <w:right w:val="single" w:color="4F81BD" w:sz="8" w:space="0"/>
            </w:tcBorders>
            <w:shd w:val="clear" w:color="auto" w:fill="FFFFFF"/>
            <w:vAlign w:val="center"/>
          </w:tcPr>
          <w:p>
            <w:pPr>
              <w:rPr>
                <w:rFonts w:ascii="仿宋_GB2312" w:hAnsi="宋体" w:eastAsia="仿宋_GB2312" w:cs="宋体"/>
                <w:color w:val="000000"/>
                <w:szCs w:val="21"/>
              </w:rPr>
            </w:pPr>
            <w:r>
              <w:rPr>
                <w:rFonts w:hint="eastAsia" w:ascii="仿宋_GB2312" w:hAnsi="宋体" w:eastAsia="仿宋_GB2312" w:cs="宋体"/>
                <w:color w:val="000000"/>
                <w:szCs w:val="21"/>
              </w:rPr>
              <w:t>本案通过个人债务清理方式解决具备个人破产要素的个人执行不能问题。以终结执行程序方式代替发挥个人破产免责制度功能，实现债务人的经济再生。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1786" w:type="dxa"/>
            <w:tcBorders>
              <w:top w:val="single" w:color="4F81BD" w:sz="8" w:space="0"/>
              <w:left w:val="single" w:color="4F81BD" w:sz="8" w:space="0"/>
              <w:bottom w:val="single" w:color="4F81BD" w:sz="8" w:space="0"/>
              <w:right w:val="dotted" w:color="auto" w:sz="4" w:space="0"/>
            </w:tcBorders>
            <w:shd w:val="clear" w:color="auto" w:fill="FFFFFF"/>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周某高个人债务整理案（</w:t>
            </w:r>
            <w:r>
              <w:rPr>
                <w:rFonts w:ascii="仿宋_GB2312" w:hAnsi="宋体" w:eastAsia="仿宋_GB2312" w:cs="宋体"/>
                <w:color w:val="000000"/>
                <w:szCs w:val="21"/>
              </w:rPr>
              <w:t>2019）浙10破申8号民事裁定书</w:t>
            </w:r>
          </w:p>
        </w:tc>
        <w:tc>
          <w:tcPr>
            <w:tcW w:w="4139" w:type="dxa"/>
            <w:tcBorders>
              <w:top w:val="single" w:color="4F81BD" w:sz="8" w:space="0"/>
              <w:left w:val="dotted" w:color="auto" w:sz="4" w:space="0"/>
              <w:bottom w:val="single" w:color="4F81BD" w:sz="8" w:space="0"/>
              <w:right w:val="dotted" w:color="auto" w:sz="4" w:space="0"/>
            </w:tcBorders>
            <w:shd w:val="clear" w:color="auto" w:fill="FFFFFF"/>
            <w:vAlign w:val="center"/>
          </w:tcPr>
          <w:p>
            <w:pPr>
              <w:rPr>
                <w:rFonts w:ascii="仿宋_GB2312" w:hAnsi="宋体" w:eastAsia="仿宋_GB2312" w:cs="宋体"/>
                <w:color w:val="000000"/>
                <w:szCs w:val="21"/>
              </w:rPr>
            </w:pPr>
            <w:r>
              <w:rPr>
                <w:rFonts w:hint="eastAsia" w:ascii="仿宋_GB2312" w:hAnsi="宋体" w:eastAsia="仿宋_GB2312" w:cs="宋体"/>
                <w:color w:val="000000"/>
                <w:szCs w:val="21"/>
              </w:rPr>
              <w:t>周某高因帮助朋友周转出借资金，后因其债务人未及时清偿，其个人无力偿还，债权人于2</w:t>
            </w:r>
            <w:r>
              <w:rPr>
                <w:rFonts w:ascii="仿宋_GB2312" w:hAnsi="宋体" w:eastAsia="仿宋_GB2312" w:cs="宋体"/>
                <w:color w:val="000000"/>
                <w:szCs w:val="21"/>
              </w:rPr>
              <w:t>017</w:t>
            </w:r>
            <w:r>
              <w:rPr>
                <w:rFonts w:hint="eastAsia" w:ascii="仿宋_GB2312" w:hAnsi="宋体" w:eastAsia="仿宋_GB2312" w:cs="宋体"/>
                <w:color w:val="000000"/>
                <w:szCs w:val="21"/>
              </w:rPr>
              <w:t>年诉至法院并进入强制执行程序。因被纳入“黑名单”，其与妻子收入有限而不具备一次性归还本息的能力，债务一直未予清偿。经其本人申请启动个人债务清理程序，管理人对其财产状况进行调查，认定其为诚信债务人，并组织其与债权人协商，达成债务重整协议。</w:t>
            </w:r>
          </w:p>
        </w:tc>
        <w:tc>
          <w:tcPr>
            <w:tcW w:w="2771" w:type="dxa"/>
            <w:tcBorders>
              <w:top w:val="single" w:color="4F81BD" w:sz="8" w:space="0"/>
              <w:left w:val="dotted" w:color="auto" w:sz="4" w:space="0"/>
              <w:bottom w:val="single" w:color="4F81BD" w:sz="8" w:space="0"/>
              <w:right w:val="single" w:color="4F81BD" w:sz="8" w:space="0"/>
            </w:tcBorders>
            <w:shd w:val="clear" w:color="auto" w:fill="FFFFFF"/>
            <w:vAlign w:val="center"/>
          </w:tcPr>
          <w:p>
            <w:pPr>
              <w:rPr>
                <w:rFonts w:ascii="仿宋_GB2312" w:hAnsi="宋体" w:eastAsia="仿宋_GB2312" w:cs="宋体"/>
                <w:color w:val="000000"/>
                <w:szCs w:val="21"/>
              </w:rPr>
            </w:pPr>
            <w:r>
              <w:rPr>
                <w:rFonts w:hint="eastAsia" w:ascii="仿宋_GB2312" w:hAnsi="宋体" w:eastAsia="仿宋_GB2312" w:cs="宋体"/>
                <w:color w:val="000000"/>
                <w:szCs w:val="21"/>
              </w:rPr>
              <w:t>本案系利用个人债务清理程序进行个人债务整理。本案管理人在财产调查基础上，促进双方在自愿基础上达成债务整理协议，化解债务人因“黑名单”问题而导致的工作生活困境，赋予其宽容债务清偿时限，有利于保护双方当事人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rPr>
        <w:tc>
          <w:tcPr>
            <w:tcW w:w="1786" w:type="dxa"/>
            <w:tcBorders>
              <w:top w:val="single" w:color="4F81BD" w:sz="8" w:space="0"/>
              <w:left w:val="single" w:color="4F81BD" w:sz="8" w:space="0"/>
              <w:bottom w:val="single" w:color="4F81BD" w:sz="8" w:space="0"/>
              <w:right w:val="dotted" w:color="auto" w:sz="4" w:space="0"/>
            </w:tcBorders>
            <w:shd w:val="clear" w:color="auto" w:fill="FFFFFF"/>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邱某某类个人破产程序案</w:t>
            </w:r>
            <w:r>
              <w:rPr>
                <w:rStyle w:val="12"/>
                <w:rFonts w:ascii="仿宋_GB2312" w:hAnsi="宋体" w:eastAsia="仿宋_GB2312" w:cs="宋体"/>
                <w:color w:val="000000"/>
                <w:szCs w:val="21"/>
              </w:rPr>
              <w:footnoteReference w:id="7"/>
            </w:r>
          </w:p>
        </w:tc>
        <w:tc>
          <w:tcPr>
            <w:tcW w:w="4139" w:type="dxa"/>
            <w:tcBorders>
              <w:top w:val="single" w:color="4F81BD" w:sz="8" w:space="0"/>
              <w:left w:val="dotted" w:color="auto" w:sz="4" w:space="0"/>
              <w:bottom w:val="single" w:color="4F81BD" w:sz="8" w:space="0"/>
              <w:right w:val="dotted" w:color="auto" w:sz="4" w:space="0"/>
            </w:tcBorders>
            <w:shd w:val="clear" w:color="auto" w:fill="FFFFFF"/>
            <w:vAlign w:val="center"/>
          </w:tcPr>
          <w:p>
            <w:pPr>
              <w:rPr>
                <w:rFonts w:ascii="仿宋_GB2312" w:hAnsi="宋体" w:eastAsia="仿宋_GB2312" w:cs="宋体"/>
                <w:color w:val="000000"/>
                <w:szCs w:val="21"/>
              </w:rPr>
            </w:pPr>
            <w:r>
              <w:rPr>
                <w:rFonts w:hint="eastAsia" w:ascii="仿宋_GB2312" w:hAnsi="宋体" w:eastAsia="仿宋_GB2312" w:cs="宋体"/>
                <w:color w:val="000000"/>
                <w:szCs w:val="21"/>
              </w:rPr>
              <w:t>邱某某因经营负债而向吴江法院提出个人债务清理申请。管理人指导邱某某拟定个人债务清偿计划，免除债务人部分债务，并在终结债务清理程序之日起设置三个月的信用考验期，法院裁定批准上述清偿计划，并终止邱某某个人债务清理程序。2</w:t>
            </w:r>
            <w:r>
              <w:rPr>
                <w:rFonts w:ascii="仿宋_GB2312" w:hAnsi="宋体" w:eastAsia="仿宋_GB2312" w:cs="宋体"/>
                <w:color w:val="000000"/>
                <w:szCs w:val="21"/>
              </w:rPr>
              <w:t>021</w:t>
            </w:r>
            <w:r>
              <w:rPr>
                <w:rFonts w:hint="eastAsia" w:ascii="仿宋_GB2312" w:hAnsi="宋体" w:eastAsia="仿宋_GB2312" w:cs="宋体"/>
                <w:color w:val="000000"/>
                <w:szCs w:val="21"/>
              </w:rPr>
              <w:t>年3月邱某某执行完毕清偿计划，裁定终结个人债务清理程序，并免除生育债务，解除对其限制高消费措施。</w:t>
            </w:r>
          </w:p>
        </w:tc>
        <w:tc>
          <w:tcPr>
            <w:tcW w:w="2771" w:type="dxa"/>
            <w:tcBorders>
              <w:top w:val="single" w:color="4F81BD" w:sz="8" w:space="0"/>
              <w:left w:val="dotted" w:color="auto" w:sz="4" w:space="0"/>
              <w:bottom w:val="single" w:color="4F81BD" w:sz="8" w:space="0"/>
              <w:right w:val="single" w:color="4F81BD" w:sz="8" w:space="0"/>
            </w:tcBorders>
            <w:shd w:val="clear" w:color="auto" w:fill="FFFFFF"/>
            <w:vAlign w:val="center"/>
          </w:tcPr>
          <w:p>
            <w:pPr>
              <w:keepNext/>
              <w:rPr>
                <w:rFonts w:ascii="仿宋_GB2312" w:hAnsi="宋体" w:eastAsia="仿宋_GB2312" w:cs="宋体"/>
                <w:color w:val="000000"/>
                <w:szCs w:val="21"/>
              </w:rPr>
            </w:pPr>
            <w:r>
              <w:rPr>
                <w:rFonts w:hint="eastAsia" w:ascii="仿宋_GB2312" w:hAnsi="宋体" w:eastAsia="仿宋_GB2312" w:cs="宋体"/>
                <w:color w:val="000000"/>
                <w:szCs w:val="21"/>
              </w:rPr>
              <w:t>法院依据成熟“执转破”经验，参照企业破产案件审理规范，遵循个人破产制度逻辑，通过指定管理人、表决清偿计划、制作节点文书、设定信用考验期等具体措施，实现在个人债务清理中实现免责的法律效果。</w:t>
            </w:r>
          </w:p>
        </w:tc>
      </w:tr>
    </w:tbl>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（四）探因：推进个人执行不能转个人破产的优势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法院在个人执行不能时常以信用惩戒方式督促债务人履行债务，但列入失信名单的惩治措施不仅不能对“老赖”起到有效的警示作用，还有碍诚实而不幸债务人经济重生以履行债务。根据《深圳经济特区个人破产条例》的规定，债务人可以通过和解、重整、清算等方式实现债务免责，法院根据债务人在破产清算免责考察期表现以及重整计划、和解协议的执行情况，最终裁定债务人免责或不免责。不仅能够提前实现债务人全部财产的有效分配，还能够有效防范非诚信债务人恶意逃废债。个人破产立法的首要目标定位于保障债务人的生存权和发展权，相较于强制执行程序为债务人保留不受执行的财产相比，从整体对债务人所负债务进行清理，能够帮助债务人从根本上解除债务人的债务枷锁，实现其经济重生。</w:t>
      </w:r>
      <w:r>
        <w:rPr>
          <w:rStyle w:val="12"/>
          <w:rFonts w:hint="eastAsia" w:ascii="宋体" w:hAnsi="宋体" w:eastAsia="宋体" w:cs="宋体"/>
          <w:sz w:val="24"/>
          <w:szCs w:val="24"/>
        </w:rPr>
        <w:footnoteReference w:id="8"/>
      </w:r>
      <w:r>
        <w:rPr>
          <w:rFonts w:hint="eastAsia" w:ascii="宋体" w:hAnsi="宋体" w:eastAsia="宋体" w:cs="宋体"/>
          <w:sz w:val="24"/>
          <w:szCs w:val="24"/>
        </w:rPr>
        <w:t>此外，个人破产仍未脱离保护债权人利益之核心，个人破产注重从整体债权人利益角度出发，突破执行程序的个别或部分清偿，并由法院通过严格的诚信审查程序防范债务人逃废债，实现债权人和债务人利益的双重保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个人破产申请与个人执行转破产是两种并列的启动破产程序的方式。因债权人对债务人财产状况了解并不深入，债权人或法院在执行阶段才会发现债务人存在无法清偿债务之情况，但由于过去“破产不能”问题导致大量本应通过个人破产制度解决的案件阻滞于执行程序。在未来我国建立广泛个人破产制度后，该类执行不能案件将能够通过个人破产程序得到有效的解决，并实现债权人与债务人利益的最大化保障。</w:t>
      </w:r>
    </w:p>
    <w:p>
      <w:pPr>
        <w:numPr>
          <w:ilvl w:val="0"/>
          <w:numId w:val="1"/>
        </w:numPr>
        <w:spacing w:line="360" w:lineRule="auto"/>
        <w:ind w:firstLine="482" w:firstLineChars="200"/>
        <w:rPr>
          <w:rFonts w:ascii="宋体" w:hAnsi="宋体" w:eastAsia="宋体" w:cs="宋体"/>
          <w:sz w:val="24"/>
          <w:szCs w:val="28"/>
        </w:rPr>
      </w:pPr>
      <w:r>
        <w:rPr>
          <w:rFonts w:hint="eastAsia" w:ascii="宋体" w:hAnsi="宋体" w:eastAsia="宋体" w:cs="宋体"/>
          <w:b/>
          <w:bCs/>
          <w:sz w:val="24"/>
          <w:szCs w:val="28"/>
        </w:rPr>
        <w:t>执行、个人破产与个人“执转破”程序比较（如表</w:t>
      </w:r>
      <w:r>
        <w:rPr>
          <w:rFonts w:ascii="宋体" w:hAnsi="宋体" w:eastAsia="宋体" w:cs="宋体"/>
          <w:b/>
          <w:bCs/>
          <w:sz w:val="24"/>
          <w:szCs w:val="28"/>
        </w:rPr>
        <w:t>4</w:t>
      </w:r>
      <w:r>
        <w:rPr>
          <w:rFonts w:hint="eastAsia" w:ascii="宋体" w:hAnsi="宋体" w:eastAsia="宋体" w:cs="宋体"/>
          <w:b/>
          <w:bCs/>
          <w:sz w:val="24"/>
          <w:szCs w:val="28"/>
        </w:rPr>
        <w:t>）</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执行程序与破产程序具有债务清偿之共性，亦具有其独立之价值。执行程序与破产程序的根本差异在于当事人是否具有清偿能力，而个人“执转破”机制则是将进入执行程序后发现具有破产原因的案件转入个人破产，从而化解执行不能的困境。若执行程序与个人破产程序不能实现有效衔接，执行法院仅得以信用惩戒方式对恶意或善意的被执行人进行无差别管制，不利于诚实而不幸债务人经济再生。个人破产程序通过制定重整计划、和解计划或债务免责的方式，整体性、平等性地解决债务人负债，终局性地解决债权债务纠纷，为善意的被执行人提供解决债权债务纠纷的另一有效途径。</w:t>
      </w:r>
    </w:p>
    <w:p>
      <w:pPr>
        <w:spacing w:line="360" w:lineRule="auto"/>
        <w:ind w:firstLine="480" w:firstLineChars="200"/>
        <w:jc w:val="center"/>
        <w:rPr>
          <w:rFonts w:ascii="宋体" w:hAnsi="宋体" w:eastAsia="宋体" w:cs="宋体"/>
          <w:sz w:val="24"/>
          <w:szCs w:val="28"/>
        </w:rPr>
      </w:pPr>
      <w:r>
        <w:rPr>
          <w:rFonts w:hint="eastAsia" w:ascii="仿宋" w:hAnsi="仿宋" w:eastAsia="仿宋" w:cs="仿宋"/>
          <w:sz w:val="24"/>
          <w:szCs w:val="24"/>
        </w:rPr>
        <w:t xml:space="preserve">表 </w:t>
      </w:r>
      <w:r>
        <w:rPr>
          <w:rFonts w:ascii="仿宋" w:hAnsi="仿宋" w:eastAsia="仿宋" w:cs="仿宋"/>
          <w:sz w:val="24"/>
          <w:szCs w:val="24"/>
        </w:rPr>
        <w:t>4</w:t>
      </w:r>
      <w:r>
        <w:rPr>
          <w:rFonts w:hint="eastAsia" w:ascii="仿宋" w:hAnsi="仿宋" w:eastAsia="仿宋" w:cs="仿宋"/>
          <w:sz w:val="24"/>
          <w:szCs w:val="24"/>
        </w:rPr>
        <w:t>：执行、个人破产与个人“执转破”程序比较</w:t>
      </w:r>
    </w:p>
    <w:tbl>
      <w:tblPr>
        <w:tblStyle w:val="9"/>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2248"/>
        <w:gridCol w:w="2370"/>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86" w:type="dxa"/>
            <w:tcBorders>
              <w:top w:val="single" w:color="4F81BD" w:sz="8" w:space="0"/>
              <w:left w:val="single" w:color="4F81BD" w:sz="8" w:space="0"/>
              <w:bottom w:val="single" w:color="4F81BD" w:sz="8" w:space="0"/>
              <w:right w:val="dotted" w:color="auto" w:sz="4" w:space="0"/>
            </w:tcBorders>
            <w:shd w:val="clear" w:color="auto" w:fill="4F81BD"/>
          </w:tcPr>
          <w:p>
            <w:pPr>
              <w:spacing w:line="300" w:lineRule="auto"/>
              <w:rPr>
                <w:rFonts w:ascii="仿宋_GB2312" w:eastAsia="仿宋_GB2312"/>
                <w:color w:val="FFFFFF"/>
              </w:rPr>
            </w:pPr>
          </w:p>
        </w:tc>
        <w:tc>
          <w:tcPr>
            <w:tcW w:w="2248" w:type="dxa"/>
            <w:tcBorders>
              <w:top w:val="single" w:color="4F81BD" w:sz="8" w:space="0"/>
              <w:left w:val="dotted" w:color="auto" w:sz="4" w:space="0"/>
              <w:bottom w:val="single" w:color="4F81BD" w:sz="8" w:space="0"/>
              <w:right w:val="dotted" w:color="auto" w:sz="4" w:space="0"/>
            </w:tcBorders>
            <w:shd w:val="clear" w:color="auto" w:fill="4F81BD"/>
            <w:vAlign w:val="center"/>
          </w:tcPr>
          <w:p>
            <w:pPr>
              <w:spacing w:line="300" w:lineRule="auto"/>
              <w:jc w:val="center"/>
              <w:rPr>
                <w:rFonts w:ascii="仿宋_GB2312" w:eastAsia="仿宋_GB2312"/>
                <w:b/>
                <w:bCs/>
                <w:color w:val="FFFFFF"/>
              </w:rPr>
            </w:pPr>
            <w:r>
              <w:rPr>
                <w:rFonts w:hint="eastAsia" w:ascii="仿宋_GB2312" w:eastAsia="仿宋_GB2312"/>
                <w:b/>
                <w:bCs/>
                <w:color w:val="FFFFFF"/>
              </w:rPr>
              <w:t>执行程序</w:t>
            </w:r>
          </w:p>
        </w:tc>
        <w:tc>
          <w:tcPr>
            <w:tcW w:w="2370" w:type="dxa"/>
            <w:tcBorders>
              <w:top w:val="single" w:color="4F81BD" w:sz="8" w:space="0"/>
              <w:left w:val="dotted" w:color="auto" w:sz="4" w:space="0"/>
              <w:bottom w:val="single" w:color="4F81BD" w:sz="8" w:space="0"/>
              <w:right w:val="dotted" w:color="auto" w:sz="4" w:space="0"/>
            </w:tcBorders>
            <w:shd w:val="clear" w:color="auto" w:fill="4F81BD"/>
            <w:vAlign w:val="center"/>
          </w:tcPr>
          <w:p>
            <w:pPr>
              <w:spacing w:line="300" w:lineRule="auto"/>
              <w:jc w:val="center"/>
              <w:rPr>
                <w:rFonts w:ascii="仿宋_GB2312" w:eastAsia="仿宋_GB2312"/>
                <w:b/>
                <w:bCs/>
                <w:color w:val="FFFFFF"/>
              </w:rPr>
            </w:pPr>
            <w:r>
              <w:rPr>
                <w:rFonts w:hint="eastAsia" w:ascii="仿宋_GB2312" w:eastAsia="仿宋_GB2312"/>
                <w:b/>
                <w:bCs/>
                <w:color w:val="FFFFFF"/>
              </w:rPr>
              <w:t>个人破产</w:t>
            </w:r>
          </w:p>
        </w:tc>
        <w:tc>
          <w:tcPr>
            <w:tcW w:w="2650" w:type="dxa"/>
            <w:tcBorders>
              <w:top w:val="single" w:color="4F81BD" w:sz="8" w:space="0"/>
              <w:left w:val="dotted" w:color="auto" w:sz="4" w:space="0"/>
              <w:bottom w:val="single" w:color="4F81BD" w:sz="8" w:space="0"/>
              <w:right w:val="single" w:color="4F81BD" w:sz="8" w:space="0"/>
            </w:tcBorders>
            <w:shd w:val="clear" w:color="auto" w:fill="4F81BD"/>
            <w:vAlign w:val="center"/>
          </w:tcPr>
          <w:p>
            <w:pPr>
              <w:spacing w:line="300" w:lineRule="auto"/>
              <w:jc w:val="center"/>
              <w:rPr>
                <w:rFonts w:ascii="仿宋_GB2312" w:eastAsia="仿宋_GB2312"/>
                <w:b/>
                <w:bCs/>
                <w:color w:val="FFFFFF"/>
              </w:rPr>
            </w:pPr>
            <w:r>
              <w:rPr>
                <w:rFonts w:hint="eastAsia" w:ascii="仿宋_GB2312" w:eastAsia="仿宋_GB2312"/>
                <w:b/>
                <w:bCs/>
                <w:color w:val="FFFFFF"/>
              </w:rPr>
              <w:t>个人“执转破”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86" w:type="dxa"/>
            <w:tcBorders>
              <w:top w:val="single" w:color="4F81BD" w:sz="8" w:space="0"/>
              <w:left w:val="single" w:color="4F81BD" w:sz="8"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b/>
                <w:bCs/>
                <w:color w:val="000000"/>
              </w:rPr>
            </w:pPr>
            <w:r>
              <w:rPr>
                <w:rFonts w:hint="eastAsia" w:ascii="仿宋_GB2312" w:eastAsia="仿宋_GB2312"/>
                <w:b/>
                <w:bCs/>
                <w:color w:val="000000"/>
              </w:rPr>
              <w:t>性质</w:t>
            </w:r>
          </w:p>
        </w:tc>
        <w:tc>
          <w:tcPr>
            <w:tcW w:w="2248"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民事诉讼程序</w:t>
            </w:r>
          </w:p>
        </w:tc>
        <w:tc>
          <w:tcPr>
            <w:tcW w:w="2370"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破产程序</w:t>
            </w:r>
          </w:p>
        </w:tc>
        <w:tc>
          <w:tcPr>
            <w:tcW w:w="2650" w:type="dxa"/>
            <w:tcBorders>
              <w:top w:val="single" w:color="4F81BD" w:sz="8" w:space="0"/>
              <w:left w:val="dotted" w:color="auto" w:sz="4" w:space="0"/>
              <w:bottom w:val="single" w:color="4F81BD" w:sz="8" w:space="0"/>
              <w:right w:val="single" w:color="4F81BD" w:sz="8"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诉讼程序/非诉程序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86" w:type="dxa"/>
            <w:tcBorders>
              <w:top w:val="single" w:color="4F81BD" w:sz="8" w:space="0"/>
              <w:left w:val="single" w:color="4F81BD" w:sz="8"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b/>
                <w:bCs/>
                <w:color w:val="000000"/>
              </w:rPr>
            </w:pPr>
            <w:r>
              <w:rPr>
                <w:rFonts w:hint="eastAsia" w:ascii="仿宋_GB2312" w:eastAsia="仿宋_GB2312"/>
                <w:b/>
                <w:bCs/>
                <w:color w:val="000000"/>
              </w:rPr>
              <w:t>适用条件</w:t>
            </w:r>
          </w:p>
        </w:tc>
        <w:tc>
          <w:tcPr>
            <w:tcW w:w="2248"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有财产可供执行</w:t>
            </w:r>
          </w:p>
        </w:tc>
        <w:tc>
          <w:tcPr>
            <w:tcW w:w="2370"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无财产可供执行</w:t>
            </w:r>
          </w:p>
        </w:tc>
        <w:tc>
          <w:tcPr>
            <w:tcW w:w="2650" w:type="dxa"/>
            <w:tcBorders>
              <w:top w:val="single" w:color="4F81BD" w:sz="8" w:space="0"/>
              <w:left w:val="dotted" w:color="auto" w:sz="4" w:space="0"/>
              <w:bottom w:val="single" w:color="4F81BD" w:sz="8" w:space="0"/>
              <w:right w:val="single" w:color="4F81BD" w:sz="8"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进入执行程序后，发现当事人具有破产原因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86" w:type="dxa"/>
            <w:tcBorders>
              <w:top w:val="single" w:color="4F81BD" w:sz="8" w:space="0"/>
              <w:left w:val="single" w:color="4F81BD" w:sz="8"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b/>
                <w:bCs/>
                <w:color w:val="000000"/>
              </w:rPr>
              <w:t>救济</w:t>
            </w:r>
          </w:p>
        </w:tc>
        <w:tc>
          <w:tcPr>
            <w:tcW w:w="2248"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信用惩戒</w:t>
            </w:r>
          </w:p>
        </w:tc>
        <w:tc>
          <w:tcPr>
            <w:tcW w:w="2370"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免责考察</w:t>
            </w:r>
          </w:p>
        </w:tc>
        <w:tc>
          <w:tcPr>
            <w:tcW w:w="2650" w:type="dxa"/>
            <w:tcBorders>
              <w:top w:val="single" w:color="4F81BD" w:sz="8" w:space="0"/>
              <w:left w:val="dotted" w:color="auto" w:sz="4" w:space="0"/>
              <w:bottom w:val="single" w:color="4F81BD" w:sz="8" w:space="0"/>
              <w:right w:val="single" w:color="4F81BD" w:sz="8"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恢复执行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186" w:type="dxa"/>
            <w:tcBorders>
              <w:top w:val="single" w:color="4F81BD" w:sz="8" w:space="0"/>
              <w:left w:val="single" w:color="4F81BD" w:sz="8"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b/>
                <w:bCs/>
                <w:color w:val="000000"/>
              </w:rPr>
            </w:pPr>
            <w:r>
              <w:rPr>
                <w:rFonts w:hint="eastAsia" w:ascii="仿宋_GB2312" w:eastAsia="仿宋_GB2312"/>
                <w:b/>
                <w:bCs/>
                <w:color w:val="000000"/>
              </w:rPr>
              <w:t>结果</w:t>
            </w:r>
          </w:p>
        </w:tc>
        <w:tc>
          <w:tcPr>
            <w:tcW w:w="2248"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执行终结</w:t>
            </w:r>
          </w:p>
        </w:tc>
        <w:tc>
          <w:tcPr>
            <w:tcW w:w="2370"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破产审查——宣告破产</w:t>
            </w:r>
          </w:p>
        </w:tc>
        <w:tc>
          <w:tcPr>
            <w:tcW w:w="2650" w:type="dxa"/>
            <w:tcBorders>
              <w:top w:val="single" w:color="4F81BD" w:sz="8" w:space="0"/>
              <w:left w:val="dotted" w:color="auto" w:sz="4" w:space="0"/>
              <w:bottom w:val="single" w:color="4F81BD" w:sz="8" w:space="0"/>
              <w:right w:val="single" w:color="4F81BD" w:sz="8"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执行终止——破产审查——受理破产——执行终结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186" w:type="dxa"/>
            <w:tcBorders>
              <w:top w:val="single" w:color="4F81BD" w:sz="8" w:space="0"/>
              <w:left w:val="single" w:color="4F81BD" w:sz="8"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b/>
                <w:bCs/>
                <w:color w:val="000000"/>
              </w:rPr>
            </w:pPr>
            <w:r>
              <w:rPr>
                <w:rFonts w:hint="eastAsia" w:ascii="仿宋_GB2312" w:eastAsia="仿宋_GB2312"/>
                <w:b/>
                <w:bCs/>
                <w:color w:val="000000"/>
              </w:rPr>
              <w:t>优势</w:t>
            </w:r>
          </w:p>
        </w:tc>
        <w:tc>
          <w:tcPr>
            <w:tcW w:w="2248"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执行法律文书，适用于债务人资产足以抵债</w:t>
            </w:r>
          </w:p>
        </w:tc>
        <w:tc>
          <w:tcPr>
            <w:tcW w:w="2370"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整体解决债务人负债，促进债务人经济重生</w:t>
            </w:r>
          </w:p>
        </w:tc>
        <w:tc>
          <w:tcPr>
            <w:tcW w:w="2650" w:type="dxa"/>
            <w:tcBorders>
              <w:top w:val="single" w:color="4F81BD" w:sz="8" w:space="0"/>
              <w:left w:val="dotted" w:color="auto" w:sz="4" w:space="0"/>
              <w:bottom w:val="single" w:color="4F81BD" w:sz="8" w:space="0"/>
              <w:right w:val="single" w:color="4F81BD" w:sz="8"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程序转换，解决债务人执行不能困境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186" w:type="dxa"/>
            <w:tcBorders>
              <w:top w:val="single" w:color="4F81BD" w:sz="8" w:space="0"/>
              <w:left w:val="single" w:color="4F81BD" w:sz="8"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b/>
                <w:bCs/>
                <w:color w:val="000000"/>
              </w:rPr>
            </w:pPr>
            <w:r>
              <w:rPr>
                <w:rFonts w:hint="eastAsia" w:ascii="仿宋_GB2312" w:eastAsia="仿宋_GB2312"/>
                <w:b/>
                <w:bCs/>
                <w:color w:val="000000"/>
              </w:rPr>
              <w:t>缺点</w:t>
            </w:r>
          </w:p>
        </w:tc>
        <w:tc>
          <w:tcPr>
            <w:tcW w:w="2248"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执行不能</w:t>
            </w:r>
          </w:p>
        </w:tc>
        <w:tc>
          <w:tcPr>
            <w:tcW w:w="2370" w:type="dxa"/>
            <w:tcBorders>
              <w:top w:val="single" w:color="4F81BD" w:sz="8" w:space="0"/>
              <w:left w:val="dotted" w:color="auto" w:sz="4" w:space="0"/>
              <w:bottom w:val="single" w:color="4F81BD" w:sz="8" w:space="0"/>
              <w:right w:val="dotted" w:color="auto" w:sz="4"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未建立完善个人信用体系，债务人诚信审查存在困难</w:t>
            </w:r>
          </w:p>
        </w:tc>
        <w:tc>
          <w:tcPr>
            <w:tcW w:w="2650" w:type="dxa"/>
            <w:tcBorders>
              <w:top w:val="single" w:color="4F81BD" w:sz="8" w:space="0"/>
              <w:left w:val="dotted" w:color="auto" w:sz="4" w:space="0"/>
              <w:bottom w:val="single" w:color="4F81BD" w:sz="8" w:space="0"/>
              <w:right w:val="single" w:color="4F81BD" w:sz="8" w:space="0"/>
            </w:tcBorders>
            <w:shd w:val="clear" w:color="auto" w:fill="FFFFFF"/>
            <w:vAlign w:val="center"/>
          </w:tcPr>
          <w:p>
            <w:pPr>
              <w:spacing w:line="300" w:lineRule="auto"/>
              <w:jc w:val="center"/>
              <w:rPr>
                <w:rFonts w:ascii="仿宋_GB2312" w:eastAsia="仿宋_GB2312"/>
                <w:color w:val="000000"/>
              </w:rPr>
            </w:pPr>
            <w:r>
              <w:rPr>
                <w:rFonts w:hint="eastAsia" w:ascii="仿宋_GB2312" w:eastAsia="仿宋_GB2312"/>
                <w:color w:val="000000"/>
              </w:rPr>
              <w:t>执行程序与破产程序的衔接问题</w:t>
            </w:r>
          </w:p>
        </w:tc>
      </w:tr>
    </w:tbl>
    <w:p>
      <w:pPr>
        <w:pStyle w:val="3"/>
        <w:rPr>
          <w:rFonts w:ascii="仿宋" w:hAnsi="仿宋" w:eastAsia="仿宋" w:cs="仿宋"/>
          <w:sz w:val="24"/>
          <w:szCs w:val="24"/>
        </w:rPr>
      </w:pPr>
    </w:p>
    <w:p>
      <w:pPr>
        <w:rPr>
          <w:rFonts w:ascii="仿宋" w:hAnsi="仿宋" w:eastAsia="仿宋" w:cs="仿宋"/>
          <w:sz w:val="24"/>
          <w:szCs w:val="24"/>
        </w:rPr>
      </w:pP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二、学习与借鉴：既存执转破制度对个人执转破的借鉴与参考</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（一）各国执行转破产制度的具体规定</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1.英国</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英国执行转入破产程序的基本条件是债务人缺乏偿付能力。英国1914年《破产法令》即规定执行与破产的衔接程序，将三项执行不能的情形作为宣告债务人破产的标准，并于1986年破产法将债务人拒不履行或无法履行刑事破产命令或履行债务的性质命令作为破产原因。英国破产法对执行启动破产程序具有多元化契机。</w:t>
      </w:r>
      <w:r>
        <w:rPr>
          <w:rStyle w:val="12"/>
          <w:rFonts w:hint="eastAsia" w:ascii="宋体" w:hAnsi="宋体" w:eastAsia="宋体" w:cs="宋体"/>
          <w:sz w:val="24"/>
          <w:szCs w:val="24"/>
        </w:rPr>
        <w:footnoteReference w:id="9"/>
      </w:r>
      <w:r>
        <w:rPr>
          <w:rFonts w:hint="eastAsia" w:ascii="宋体" w:hAnsi="宋体" w:eastAsia="宋体" w:cs="宋体"/>
          <w:sz w:val="24"/>
          <w:szCs w:val="24"/>
        </w:rPr>
        <w:t>此外，英国个人破产还存在管制条款，若债务人存在违反规定逃避债务将承担相应的刑事责任，因此拒绝执行进入破产程序将对债务人起到威慑作用，强制其履行债务。而对于诚实而不幸债务人，他们则期望通过破产方式消除失信惩戒的不利影响，将自觉申请破产，接受调查与管制，能够有效促进债务人的债后重生。英国强制执行与个人破产的衔接机制调动债务人申请破产的积极性，推进执行程序的进行与个人破产程序的有效适用，值得借鉴。</w:t>
      </w:r>
      <w:r>
        <w:rPr>
          <w:rStyle w:val="12"/>
          <w:rFonts w:hint="eastAsia" w:ascii="宋体" w:hAnsi="宋体" w:eastAsia="宋体" w:cs="宋体"/>
          <w:sz w:val="24"/>
          <w:szCs w:val="24"/>
        </w:rPr>
        <w:footnoteReference w:id="10"/>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2.瑞士</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瑞士法将强制执行程序与破产制度并入同一法律，期望二者能够相互补充以满足债务清偿之目的。瑞士将破产式债务重组分为三大步骤：一是发出破产警告。二是债权人提出宣告破产申请。三是法院进行破产审理。且债权人提出破产宣告申请后，除存在驳回破产申请和执行中止无效事由外，法院应不延迟的作出判决。</w:t>
      </w:r>
      <w:r>
        <w:rPr>
          <w:rStyle w:val="12"/>
          <w:rFonts w:hint="eastAsia" w:ascii="宋体" w:hAnsi="宋体" w:eastAsia="宋体" w:cs="宋体"/>
          <w:sz w:val="24"/>
          <w:szCs w:val="28"/>
        </w:rPr>
        <w:footnoteReference w:id="11"/>
      </w:r>
      <w:r>
        <w:rPr>
          <w:rFonts w:hint="eastAsia" w:ascii="宋体" w:hAnsi="宋体" w:eastAsia="宋体" w:cs="宋体"/>
          <w:sz w:val="24"/>
          <w:szCs w:val="28"/>
        </w:rPr>
        <w:t>瑞士执行转破产的警告制度对督促债务人履行执行文书具有积极意义，通过执行程序解决有充足财产债务人怠于履行债务问题，并给予真正的诚实而不幸债务人以破产免责机会，能够对不同类型的债务人予以区分，有助于以最优方式解决债权债务纠纷。</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整体来看，个人执行不能转个人破产的交界点在于满足个人破产的条件，并由相关人提出破产申请，对债务人进行二元化区分——积极债务人和消极债务人。通过诚信审查的方式对进入个人破产程序的债务人进行严格限制，以防范个人破产欺诈，迫使具有履行能力的债务人通过执行程序了结债权债务纠纷。而赋予诚实而不幸的积极债务人以制定破产重整计划或债务免责考察的方式给予债务履行宽限期或债务免除利益，有利于保障债权人债权的实现和鼓励债务人的经济再生。</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（二）企业执转破制度的司法实践现况</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1.企业执行转破产的基本制度</w:t>
      </w:r>
    </w:p>
    <w:p>
      <w:pPr>
        <w:spacing w:line="360" w:lineRule="auto"/>
        <w:ind w:firstLine="420" w:firstLineChars="200"/>
        <w:rPr>
          <w:rFonts w:ascii="宋体" w:hAnsi="宋体" w:eastAsia="宋体" w:cs="宋体"/>
          <w:sz w:val="24"/>
          <w:szCs w:val="28"/>
        </w:rPr>
      </w:pPr>
      <w:r>
        <w:pict>
          <v:shape id="文本框 7" o:spid="_x0000_s2051" o:spt="202" type="#_x0000_t202" style="position:absolute;left:0pt;margin-left:78.35pt;margin-top:539.2pt;height:0.05pt;width:255.85pt;mso-wrap-distance-bottom:0pt;mso-wrap-distance-top:0pt;z-index:2516654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POGQIAAD8EAAAOAAAAZHJzL2Uyb0RvYy54bWysU8Fu2zAMvQ/YPwi6L07StViNOEWWIsOA&#10;oC2QDj0rshwLkEWNUmJnXz9KjpO222nYRaZJihTfe5zddY1hB4Vegy34ZDTmTFkJpba7gv94Xn36&#10;wpkPwpbCgFUFPyrP7+YfP8xal6sp1GBKhYyKWJ+3ruB1CC7PMi9r1Qg/AqcsBSvARgT6xV1Womip&#10;emOy6Xh8k7WApUOQynvy3vdBPk/1q0rJ8FhVXgVmCk5vC+nEdG7jmc1nIt+hcLWWp2eIf3hFI7Sl&#10;pudS9yIItkf9R6lGSwQPVRhJaDKoKi1VmoGmmYzfTbOphVNpFgLHuzNM/v+VlQ+HjXtCFrqv0BGB&#10;EZDW+dyTM87TVdjEL72UUZwgPJ5hU11gkpxX08+309trziTFbq6uY43sctWhD98UNCwaBUfiJEEl&#10;Dmsf+tQhJXbyYHS50sbEnxhYGmQHQfy1tQ7qVPxNlrEx10K81ReMnuwyR7RCt+2YLl/NuIXySKMj&#10;9KrwTq409VsLH54EkgxoWpJ2eKSjMtAWHE4WZzXgr7/5Yz6xQ1HOWpJVwf3PvUDFmfluibeowcHA&#10;wdgOht03S6BJJ7Q0TiaTLmAwg1khNC+k+EXsQiFhJfUqeBjMZejFTRsj1WKRkkhpToS13TgZSw+4&#10;PncvAt2JlUBkPsAgOJG/I6fPTfS4xT4Q0om5iGuP4gluUmni/rRRcQ1e/6esy97PfwMAAP//AwBQ&#10;SwMEFAAGAAgAAAAhAM+ESAjgAAAADQEAAA8AAABkcnMvZG93bnJldi54bWxMjzFPwzAQhXck/oN1&#10;SCyIOkDqViFOVVUwwFIRurC5sRsH4nNkO23491zFANt7d0/vvitXk+vZ0YTYeZRwN8uAGWy87rCV&#10;sHt/vl0Ci0mhVr1HI+HbRFhVlxelKrQ/4Zs51qllVIKxUBJsSkPBeWyscSrO/GCQdgcfnEpkQ8t1&#10;UCcqdz2/zzLBneqQLlg1mI01zVc9Ognb/GNrb8bD0+s6fwgvu3EjPttayuuraf0ILJkp/YXhjE/o&#10;UBHT3o+oI+vJz8WCoiSyxTIHRhEhzmL/O5oDr0r+/4vqBwAA//8DAFBLAQItABQABgAIAAAAIQC2&#10;gziS/gAAAOEBAAATAAAAAAAAAAAAAAAAAAAAAABbQ29udGVudF9UeXBlc10ueG1sUEsBAi0AFAAG&#10;AAgAAAAhADj9If/WAAAAlAEAAAsAAAAAAAAAAAAAAAAALwEAAF9yZWxzLy5yZWxzUEsBAi0AFAAG&#10;AAgAAAAhAKMWQ84ZAgAAPwQAAA4AAAAAAAAAAAAAAAAALgIAAGRycy9lMm9Eb2MueG1sUEsBAi0A&#10;FAAGAAgAAAAhAM+ESAjgAAAADQEAAA8AAAAAAAAAAAAAAAAAcwQAAGRycy9kb3ducmV2LnhtbFBL&#10;BQYAAAAABAAEAPMAAACABQAAAAA=&#10;">
            <v:path/>
            <v:fill focussize="0,0"/>
            <v:stroke on="f" joinstyle="miter"/>
            <v:imagedata o:title=""/>
            <o:lock v:ext="edit"/>
            <v:textbox inset="0mm,0mm,0mm,0mm" style="mso-fit-shape-to-text:t;">
              <w:txbxContent>
                <w:p>
                  <w:pPr>
                    <w:pStyle w:val="3"/>
                    <w:jc w:val="center"/>
                    <w:rPr>
                      <w:rFonts w:ascii="仿宋" w:hAnsi="仿宋" w:eastAsia="仿宋" w:cs="仿宋"/>
                      <w:sz w:val="36"/>
                      <w:szCs w:val="36"/>
                    </w:rPr>
                  </w:pPr>
                  <w:r>
                    <w:rPr>
                      <w:rFonts w:ascii="仿宋" w:hAnsi="仿宋" w:eastAsia="仿宋"/>
                      <w:sz w:val="24"/>
                      <w:szCs w:val="24"/>
                    </w:rPr>
                    <w:t>图2</w:t>
                  </w:r>
                  <w:r>
                    <w:rPr>
                      <w:rFonts w:hint="eastAsia" w:ascii="仿宋" w:hAnsi="仿宋" w:eastAsia="仿宋"/>
                      <w:sz w:val="24"/>
                      <w:szCs w:val="24"/>
                    </w:rPr>
                    <w:t>：企业执行转破产流程</w:t>
                  </w:r>
                </w:p>
              </w:txbxContent>
            </v:textbox>
            <w10:wrap type="topAndBottom"/>
          </v:shape>
        </w:pict>
      </w:r>
      <w:r>
        <w:rPr>
          <w:rFonts w:hint="eastAsia" w:ascii="仿宋" w:hAnsi="仿宋" w:eastAsia="仿宋" w:cs="仿宋"/>
          <w:sz w:val="24"/>
          <w:szCs w:val="24"/>
        </w:rPr>
        <w:drawing>
          <wp:anchor distT="0" distB="0" distL="114300" distR="114300" simplePos="0" relativeHeight="251661312" behindDoc="0" locked="0" layoutInCell="1" allowOverlap="1">
            <wp:simplePos x="0" y="0"/>
            <wp:positionH relativeFrom="column">
              <wp:posOffset>995045</wp:posOffset>
            </wp:positionH>
            <wp:positionV relativeFrom="paragraph">
              <wp:posOffset>3884295</wp:posOffset>
            </wp:positionV>
            <wp:extent cx="3249295" cy="2906395"/>
            <wp:effectExtent l="0" t="0" r="8255" b="889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rcRect l="3273" t="9283" r="23709" b="3625"/>
                    <a:stretch>
                      <a:fillRect/>
                    </a:stretch>
                  </pic:blipFill>
                  <pic:spPr>
                    <a:xfrm>
                      <a:off x="0" y="0"/>
                      <a:ext cx="3249567" cy="2906167"/>
                    </a:xfrm>
                    <a:prstGeom prst="rect">
                      <a:avLst/>
                    </a:prstGeom>
                    <a:ln>
                      <a:noFill/>
                    </a:ln>
                  </pic:spPr>
                </pic:pic>
              </a:graphicData>
            </a:graphic>
          </wp:anchor>
        </w:drawing>
      </w:r>
      <w:r>
        <w:rPr>
          <w:rFonts w:hint="eastAsia" w:ascii="宋体" w:hAnsi="宋体" w:eastAsia="宋体" w:cs="宋体"/>
          <w:sz w:val="24"/>
          <w:szCs w:val="28"/>
        </w:rPr>
        <w:t>《最高人民法院关于适用&lt;中华人民共和国民事诉讼法&gt;的解释》第5</w:t>
      </w:r>
      <w:r>
        <w:rPr>
          <w:rFonts w:ascii="宋体" w:hAnsi="宋体" w:eastAsia="宋体" w:cs="宋体"/>
          <w:sz w:val="24"/>
          <w:szCs w:val="28"/>
        </w:rPr>
        <w:t>11-514</w:t>
      </w:r>
      <w:r>
        <w:rPr>
          <w:rFonts w:hint="eastAsia" w:ascii="宋体" w:hAnsi="宋体" w:eastAsia="宋体" w:cs="宋体"/>
          <w:sz w:val="24"/>
          <w:szCs w:val="28"/>
        </w:rPr>
        <w:t>条对企业执行转破产的程序进行规定（如图2）。根据当前我国企业执行转破产的实践分析，我国企业执行转破产的关键点有二，一是严格审查企业执行转破产的条件；二是如何做好企业执行程序转破产程序的衔接。如最高人民法院发布的松晖实业（深圳）有限公司执行转破产清算案中，松晖公司涉多宗案件经过诉讼或仲裁后进入执行程序，并因严重资不抵债而陷入执行困境。宝安法院在征得申请执行人同意后，将案件移送破产审查。深圳中院在受理破产申请后，及时发布破产公告，并指定管理人开展破产工作，对松晖公司的资产、负债及经营情况进行全面调查与审核，并最终按照通过破产财产分配方案，分配松晖公司剩余财产，并终结破产清算程序。本案通过执行不能移送破产审查，从而整体性的解决债务人松晖公司的债权债务纠纷，化解执行积案，保护各方当事人的合法权益。此外，执行程序和破产程序的衔接能够有效对企业进行有效甄别和精准救治，尽快释放经济活力，使得执行和破产两种制度的价值得到最充分、最有效的发挥。</w:t>
      </w:r>
      <w:r>
        <w:rPr>
          <w:rStyle w:val="12"/>
          <w:rFonts w:ascii="宋体" w:hAnsi="宋体" w:eastAsia="宋体" w:cs="宋体"/>
          <w:sz w:val="24"/>
          <w:szCs w:val="28"/>
        </w:rPr>
        <w:footnoteReference w:id="12"/>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2.企业执转破实践对个人执转破的启示</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我国法院正积极引导僵尸企业采取执转破方式解决长期执行不能问题，但有学者指出，我国企业执转破仍存在“总量少、效果佳、对接难”问题，执行转破产总量相对较少、执行程序转入破产程序的比率不高，但执行转破产的适用效果较好，平均每件破产案件大约能够消化180件执行案件。</w:t>
      </w:r>
      <w:r>
        <w:rPr>
          <w:rStyle w:val="12"/>
          <w:rFonts w:hint="eastAsia" w:ascii="宋体" w:hAnsi="宋体" w:eastAsia="宋体" w:cs="宋体"/>
          <w:sz w:val="24"/>
          <w:szCs w:val="28"/>
        </w:rPr>
        <w:footnoteReference w:id="13"/>
      </w:r>
      <w:r>
        <w:rPr>
          <w:rFonts w:hint="eastAsia" w:ascii="宋体" w:hAnsi="宋体" w:eastAsia="宋体" w:cs="宋体"/>
          <w:sz w:val="24"/>
          <w:szCs w:val="28"/>
        </w:rPr>
        <w:t>针对企业执行程序与破产程序的衔接，《全国法院破产审判工作会议纪要》指出其关键点包括：1、执行法院的告知与移送义务；2、执行财产强制措施的解除与移送；3、执行法院与破产法院的信息联动。此外最高人民法院《关于深化执行改革健全解决执行难长效机制的意见——人民法院执行工作纲要（2019—2023）》还提出僵尸企业执转破的激励与约束机制，通过建立专项积极的方式，激发市场主体推动执转破工作的积极性。</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企业执行转破产的程序衔接问题亦或将成为个人执转破的重难点，在构建个人执转破制度时，一方面应当对执行不能案件转破产进行充分的告知和释明，在尊重当事人意思自治的基础上，对个人破产申请进行严格审查，以鼓励债权人或债务人启动执转破程序解决执行难问题。另一方面执行法院与破产审查法院应当做好个人财产信息的对接工作，相较于企业，自然人债务人的债务关系具有隐秘性与简洁性特征，执行法院与破产法院能够及时的进行信息交换，从而提高个人破产审查效率。</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三、困境与阻碍：个人执行转个人破产的现实问题</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（一）个人债务人“执转破”程序的启动障碍</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自然人债务人“执转破”的启动相较于企业法人而言似乎更具有挑战性。从债务人的角度来看，虽然执行程序能够有效的清理个人全部债务，避免债务人的过分诉累，但债务人对执行转破产程序的适用仍存在不少顾虑。一是执行转破产债务人所执行财产范围将扩展至其全部财产，债务人所保留的仅为生活所必须之份额。二是个人破产部分债务人还担心进入破产诚信有损商业信誉，而反复停滞于执行程序而拒绝破产程序，使得大量积案陷入反复执行的死循环。</w:t>
      </w:r>
      <w:r>
        <w:rPr>
          <w:rStyle w:val="12"/>
          <w:rFonts w:hint="eastAsia" w:ascii="宋体" w:hAnsi="宋体" w:eastAsia="宋体" w:cs="宋体"/>
          <w:sz w:val="24"/>
          <w:szCs w:val="28"/>
        </w:rPr>
        <w:footnoteReference w:id="14"/>
      </w:r>
      <w:r>
        <w:rPr>
          <w:rFonts w:hint="eastAsia" w:ascii="宋体" w:hAnsi="宋体" w:eastAsia="宋体" w:cs="宋体"/>
          <w:sz w:val="24"/>
          <w:szCs w:val="28"/>
        </w:rPr>
        <w:t>而从债权人对破产程序接受度不高主要体现于，当事人担心破产程序的耗时长、取证难。具有担保的债权人担心担保物处置缓慢自身权益难以实现，而普通债权人担心后续受偿份额少，时间精力成本与追偿数额不成比例。故债权人对执行转破产程序仍保持审慎的态度。</w:t>
      </w:r>
      <w:r>
        <w:rPr>
          <w:rStyle w:val="12"/>
          <w:rFonts w:hint="eastAsia" w:ascii="宋体" w:hAnsi="宋体" w:eastAsia="宋体" w:cs="宋体"/>
          <w:sz w:val="24"/>
          <w:szCs w:val="28"/>
        </w:rPr>
        <w:footnoteReference w:id="15"/>
      </w:r>
      <w:r>
        <w:rPr>
          <w:rFonts w:hint="eastAsia" w:ascii="宋体" w:hAnsi="宋体" w:eastAsia="宋体" w:cs="宋体"/>
          <w:sz w:val="24"/>
          <w:szCs w:val="28"/>
        </w:rPr>
        <w:t>从债权人角度来看，个人破产制度打破传统偿债理念，将自然人的无限责任转为有限责任，相较于可能恢复的执行程序，个人破产程序一旦终结，债权人与债务人之间的债务将彻底了结，债权人的债权可能无法得到完全的实现。此外，由于我国未建立完善的个人信用体系，债权人甚至是法院对债务人的财产状况了解都不全面，基于对债务人逃废债之顾虑，债权人对于启动执行转破产势必存在一定顾虑。而类比直接申请个人破产和企业执行转破产机制，个人执行不能转个人破产需要债务人或债权人申请，且《深圳经济特区个人破产条例》还对申请个人破产的债权人债权最低数额进行规定，当申请执行人债权不足50万时，是否还能够适用执转破制度有待商榷。</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然而，事实上个人破产程序相较于执行程序具有明显优势，只是由于当前公众对“破产”一词的理解过于狭隘，过分关注破产程序免除债务人责任的结果，而忽略事实执行可能性、破产对债务人的严格限制等因素。若要使债务人和债权人对执行程序转破产程序的成本与收益进行正确的衡量，人民法院应当进行正确的引导与释明，使得债权人和债务人能够处于信息平等之地位，确保双方利益的最大化实现。</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（二）个人破产制度的不足与破产审查难点</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我国个人破产制度仍处于试行阶段，未全面建立个人破产制度导致我国个人执行不能转个人破产不具备基本的实施条件，但同步建立个人破产制度与个人执转破机制能够有效化解个人执行难问题。就深圳市个人破产的实践来看，个人破产审查的重难点仍是个人破产免责考察，破产免责考察是维护债权人和债务人利益平衡的重要举措，破产审查的困难在于我国并未建立完善的个人信用体系，相较于企业具有较高程度的公开透明度，个人财产状况具有较强的隐蔽性，债权人和法院对债务人财产状况的了解可能存在一定偏差。个人执行转破产的启动通常依赖于债务人或债权人。处理个人破产诚信审查问题，一方面应当建立完善的个人信用体系，以人民法院为媒介消除双方当事人间信息不对称问题，另一方面应当严厉惩治破产审查中的失信行为，确保不应通过破产方式免责债务人通过执行程序解决债权债务纠纷。</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四、思考与探索：执行程序与个人破产程序衔接适用的构想</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（一）个人执行不能转破产的基本要点</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1.个人执转破以意思自治为原则、强制执转破为例外</w:t>
      </w:r>
    </w:p>
    <w:p>
      <w:pPr>
        <w:spacing w:line="360" w:lineRule="auto"/>
        <w:ind w:firstLine="480" w:firstLineChars="200"/>
        <w:rPr>
          <w:rFonts w:ascii="宋体" w:hAnsi="宋体" w:eastAsia="宋体" w:cs="宋体"/>
          <w:sz w:val="24"/>
          <w:szCs w:val="28"/>
        </w:rPr>
      </w:pPr>
      <w:r>
        <w:rPr>
          <w:rFonts w:ascii="宋体" w:hAnsi="宋体" w:eastAsia="宋体" w:cs="宋体"/>
          <w:sz w:val="24"/>
          <w:szCs w:val="28"/>
        </w:rPr>
        <w:drawing>
          <wp:anchor distT="0" distB="0" distL="114300" distR="114300" simplePos="0" relativeHeight="251663360" behindDoc="0" locked="0" layoutInCell="1" allowOverlap="1">
            <wp:simplePos x="0" y="0"/>
            <wp:positionH relativeFrom="column">
              <wp:posOffset>625475</wp:posOffset>
            </wp:positionH>
            <wp:positionV relativeFrom="paragraph">
              <wp:posOffset>3029585</wp:posOffset>
            </wp:positionV>
            <wp:extent cx="4310380" cy="328295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310380" cy="3282950"/>
                    </a:xfrm>
                    <a:prstGeom prst="rect">
                      <a:avLst/>
                    </a:prstGeom>
                  </pic:spPr>
                </pic:pic>
              </a:graphicData>
            </a:graphic>
          </wp:anchor>
        </w:drawing>
      </w:r>
      <w:r>
        <w:pict>
          <v:shape id="文本框 6" o:spid="_x0000_s2050" o:spt="202" type="#_x0000_t202" style="position:absolute;left:0pt;margin-left:22.35pt;margin-top:499.35pt;height:0.05pt;width:349.5pt;mso-wrap-distance-bottom:0pt;mso-wrap-distance-top:0pt;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oJBAIAAAUEAAAOAAAAZHJzL2Uyb0RvYy54bWysU02P2jAQvVfqf7B8LwF2F60QYUVZUVVC&#10;3ZVo1bNxbGLJ8bhjQ0J/fccOgX6dql6ciWf8xu/N8+Kpayw7KQwGXMknozFnykmojDuU/MvnzbtH&#10;zkIUrhIWnCr5WQX+tHz7ZtH6uZpCDbZSyAjEhXnrS17H6OdFEWStGhFG4JWjpAZsRKRfPBQVipbQ&#10;G1tMx+NZ0QJWHkGqEGj3uU/yZcbXWsn4onVQkdmS091iXjGv+7QWy4WYH1D42sjLNcQ/3KIRxlHT&#10;K9SziIId0fwB1RiJEEDHkYSmAK2NVJkDsZmMf2Ozq4VXmQuJE/xVpvD/YOWn086/Iovde+hogEmQ&#10;1od5oM3Ep9PYpC/dlFGeJDxfZVNdZJI27+/vHmcPlJKUm909JIzidtRjiB8UNCwFJUeaSZZKnLYh&#10;9qVDSeoUwJpqY6xNPymxtshOgubX1iaqC/gvVdalWgfpVA+YdoobjxTFbt8xU5V8OnDcQ3Um6gi9&#10;K4KXG0P9tiLEV4FkA6JE1o4vtGgLbcnhEnFWA37/236qp+lQlrOWbFXy8O0oUHFmPzqaW/LgEOAQ&#10;7IfAHZs1ENMJPRovc0gHMNoh1AjNV3L8KnWhlHCSepU8DuE69uamFyPVapWLyGlexK3beZmgs8h+&#10;dYykV9Y/qdNrcRGNvJYneHkXycw//+eq2+td/gAAAP//AwBQSwMEFAAGAAgAAAAhAIvWmQbgAAAA&#10;CgEAAA8AAABkcnMvZG93bnJldi54bWxMjzFPwzAQhXck/oN1SCyIOlCrTUOcqqpggKUidGFzYzcO&#10;xOfIdtrw7zlYYHt37+ndd+V6cj07mRA7jxLuZhkwg43XHbYS9m9PtzmwmBRq1Xs0Er5MhHV1eVGq&#10;QvszvppTnVpGJRgLJcGmNBScx8Yap+LMDwbJO/rgVKIxtFwHdaZy1/P7LFtwpzqkC1YNZmtN81mP&#10;TsJOvO/szXh8fNmIeXjej9vFR1tLeX01bR6AJTOlvzD84BM6VMR08CPqyHoJQiwpKWG1yklQYCnm&#10;JA6/mxx4VfL/L1TfAAAA//8DAFBLAQItABQABgAIAAAAIQC2gziS/gAAAOEBAAATAAAAAAAAAAAA&#10;AAAAAAAAAABbQ29udGVudF9UeXBlc10ueG1sUEsBAi0AFAAGAAgAAAAhADj9If/WAAAAlAEAAAsA&#10;AAAAAAAAAAAAAAAALwEAAF9yZWxzLy5yZWxzUEsBAi0AFAAGAAgAAAAhAIlEagkEAgAABQQAAA4A&#10;AAAAAAAAAAAAAAAALgIAAGRycy9lMm9Eb2MueG1sUEsBAi0AFAAGAAgAAAAhAIvWmQbgAAAACgEA&#10;AA8AAAAAAAAAAAAAAAAAXgQAAGRycy9kb3ducmV2LnhtbFBLBQYAAAAABAAEAPMAAABrBQAAAAA=&#10;">
            <v:path/>
            <v:fill focussize="0,0"/>
            <v:stroke on="f" joinstyle="miter"/>
            <v:imagedata o:title=""/>
            <o:lock v:ext="edit"/>
            <v:textbox inset="0mm,0mm,0mm,0mm" style="mso-fit-shape-to-text:t;">
              <w:txbxContent>
                <w:p>
                  <w:pPr>
                    <w:pStyle w:val="3"/>
                    <w:jc w:val="center"/>
                    <w:rPr>
                      <w:rFonts w:ascii="仿宋" w:hAnsi="仿宋" w:eastAsia="仿宋" w:cs="仿宋"/>
                      <w:sz w:val="36"/>
                      <w:szCs w:val="40"/>
                    </w:rPr>
                  </w:pPr>
                  <w:r>
                    <w:rPr>
                      <w:rFonts w:hint="eastAsia" w:ascii="仿宋" w:hAnsi="仿宋" w:eastAsia="仿宋" w:cs="仿宋"/>
                      <w:sz w:val="24"/>
                      <w:szCs w:val="24"/>
                    </w:rPr>
                    <w:t>图 3:个人“执转破”启动程序</w:t>
                  </w:r>
                </w:p>
              </w:txbxContent>
            </v:textbox>
            <w10:wrap type="topAndBottom"/>
          </v:shape>
        </w:pict>
      </w:r>
      <w:r>
        <w:rPr>
          <w:rFonts w:hint="eastAsia" w:ascii="宋体" w:hAnsi="宋体" w:eastAsia="宋体" w:cs="宋体"/>
          <w:sz w:val="24"/>
          <w:szCs w:val="28"/>
        </w:rPr>
        <w:t>破产法系属于商法，民商事法律关系以当事人意思自治为基本原则。英国破产法将执行程序中某些执行不能情形作为宣告破产的标准，而瑞士破产法则通过破产警告与破产申请的方式实现执行程序到破产程序的转换。不论是我国企业破产法还是试行的个人破产制度，均以债务人或债权人的申请为前提，企业执行转破产也需债务人或申请执行人之一同意，虽然该制度具有充分尊重当事人意思自治，但破产法不仅具有保护债务公平清偿与债权人债务人合法权益的基本功能，还应当成为保障市场经济优胜劣汰的有效规则，在市场主体退出机制失灵情形下，国家公权力适当介入和调整破产程序的启动，作为申请主义的补充，具有必要性和正当性。</w:t>
      </w:r>
      <w:r>
        <w:rPr>
          <w:rStyle w:val="12"/>
          <w:rFonts w:hint="eastAsia" w:ascii="宋体" w:hAnsi="宋体" w:eastAsia="宋体" w:cs="宋体"/>
          <w:sz w:val="24"/>
          <w:szCs w:val="28"/>
        </w:rPr>
        <w:footnoteReference w:id="16"/>
      </w:r>
      <w:r>
        <w:rPr>
          <w:rFonts w:hint="eastAsia" w:ascii="宋体" w:hAnsi="宋体" w:eastAsia="宋体" w:cs="宋体"/>
          <w:sz w:val="24"/>
          <w:szCs w:val="28"/>
        </w:rPr>
        <w:t>综上所述，个人执转破应以意思自治为原则，特殊情况适用强制执行转破产制度，以维护社会公共利益（如图</w:t>
      </w:r>
      <w:r>
        <w:rPr>
          <w:rFonts w:ascii="宋体" w:hAnsi="宋体" w:eastAsia="宋体" w:cs="宋体"/>
          <w:sz w:val="24"/>
          <w:szCs w:val="28"/>
        </w:rPr>
        <w:t>3</w:t>
      </w:r>
      <w:r>
        <w:rPr>
          <w:rFonts w:hint="eastAsia" w:ascii="宋体" w:hAnsi="宋体" w:eastAsia="宋体" w:cs="宋体"/>
          <w:sz w:val="24"/>
          <w:szCs w:val="28"/>
        </w:rPr>
        <w:t>）。</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在个人破产领域由于涉及自然人债权人和债务人的基本权益，更应当严格执行转破产的衔接程序，一方面执行法院对于存在破产原因的案件应当针对当事人进行充分的告知与释明，引导债权人和债务人通过破产方式解决执行不能问题，提高执转破程序的适用比率。另一方面应当严格强制执行转破产的适用条件，例如仅在债务人执行不能满一定期限且债务人具有偿债意愿与经济再生之可能，法院才得通过强制执转破程序对债务人的债务关系进行清理。总体而言，个人执转破应当尊重当事人意思自治，仅在长期执行不能导致司法资源严重浪费时才可以由法院依职权强制执转破。</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2.充分发挥个人执转破中法院的引导、推进作用</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个人执行转破产涉及执行法院与破产法院，执行法院负责向执行当事人对相关程序进行告知与说明，并将案件及时移送被执行人住所地法院进行破产审查。执行法院发现存在个人执行不能情形时，首先可以向被执行人进行破产警告，督促其履行执行法律文书所规定的义务。若经执行法院审查发现被执行人确实存在破产原因，可以向执行程序当事人进行告知、释明，征询当事人的意见是否转入破产程序。当债务人或债权人同意进入破产程序，执行法院应当及时将案件移送被执行人住所地法院进行破产审查，并在受理破产申请后及时解除对被执行人财产采取的强制措施。</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综上，执行法院在执转破程序中各环节均扮演重要角色。首先，执行法院应当完善破产原因初步审查的具体流程，以王道锁、王连银与连云港连铸机械有限公司申请破产清算二审民事裁定书为例，未对被执行人的破产原因进行充分审查而进入执行转破产程序，法院不予受理后恢复执行，将造成破产庭审查资源的浪费。</w:t>
      </w:r>
      <w:r>
        <w:rPr>
          <w:rStyle w:val="12"/>
          <w:rFonts w:hint="eastAsia" w:ascii="宋体" w:hAnsi="宋体" w:eastAsia="宋体" w:cs="宋体"/>
          <w:sz w:val="24"/>
          <w:szCs w:val="28"/>
        </w:rPr>
        <w:footnoteReference w:id="17"/>
      </w:r>
      <w:r>
        <w:rPr>
          <w:rFonts w:hint="eastAsia" w:ascii="宋体" w:hAnsi="宋体" w:eastAsia="宋体" w:cs="宋体"/>
          <w:sz w:val="24"/>
          <w:szCs w:val="28"/>
        </w:rPr>
        <w:t>提高个人执行转破产案件的比率，节约司法资源。其次，执行法院作为直接与当事人进行对接的机关，应当对债权人和债务人进行积极的引导。</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3.保障执行程序与个人破产程序之间的信息交换</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根据最高人民法院《关于执行案件移送破产审查若干问题的指导意见》第10条规定，人民法院应当及时移送有关债务人财产状况的资料与信息。执行法院执行过程中对债务人的财产状况、债权债务关系已有初步了解，并对债务人是否具备个人破产原因进行初步审查。建立执行法院与破产法院的信息、资源共享机制，为破产法院破产审查提供协作与配合，有利于提高破产法院的审判效率，防止司法资源的浪费，并解决债权人所担忧的破产程序时间成本问题。保障执行法院与破产法院之间的信息交换，一方面执行法院应当全面及时的移送相关材料，另一方面破产法院应当及时接受并立案。根据《关于执行案件移送破产审查若干问题的指导意见》第11条，仅当执行法院移送材料不完备或内容错误到达足以影响受移送法院对被执行人是否具备破产原因作出判断的程度时，受移送法院才可以暂不予立案。</w:t>
      </w:r>
      <w:r>
        <w:rPr>
          <w:rStyle w:val="12"/>
          <w:rFonts w:hint="eastAsia" w:ascii="宋体" w:hAnsi="宋体" w:eastAsia="宋体" w:cs="宋体"/>
          <w:sz w:val="24"/>
          <w:szCs w:val="28"/>
        </w:rPr>
        <w:footnoteReference w:id="18"/>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在信息交换领域，个人“执转破”应当更加重视对债务人个人信息的保护。针对执行程序所收集的债务人个人信息，在破产程序中应予以充分利用。执行程序与破产程序之间的信息交换，能够有效避免个人信息的反复搜集，在提高司法效率的同时，最大程度降低对债务人个人信息权益的损害。</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4.确保执行程序与个人破产程序顺畅转换</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执行法院对个人存在破产原因所进行的审查仅为初步审查，是否符合个人破产条件仍需接受移送法院进行审查判断，民诉执行程序向个人破产程序的转换的重点在于确认个人债务人的破产原因，其为二者的交接点。就我国当前执行转破产而言，仅规定执行程序向破产程序转化的具体程序，包括材料的移送、财产强制措施的解除等，但当破产审查法院并未受理破产申请时，中止的执行程序应当如何恢复并未作出详细的规定。破产程序倒回执行程序并恢复执行不应当是简单的退回案件，破产审查法院应当将不予受理破产申请所依据的各材料信息移交执行法院，为执行法院继续执行提供其他信息基础。当然，在执行程序与破产程序转换中我们应当避免存在踢皮球的问题，当受移送法院拒绝受理破产申请后，执行法院在没有新事实、理由的情况下，不得再次将案件移送破产审查。</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t>5.思想层面对“个人破产”观念的更新</w:t>
      </w:r>
    </w:p>
    <w:p>
      <w:pPr>
        <w:spacing w:line="360" w:lineRule="auto"/>
        <w:ind w:firstLine="480" w:firstLineChars="200"/>
        <w:rPr>
          <w:rFonts w:ascii="宋体" w:hAnsi="宋体" w:eastAsia="宋体" w:cs="宋体"/>
          <w:sz w:val="24"/>
          <w:szCs w:val="28"/>
        </w:rPr>
      </w:pPr>
      <w:r>
        <w:rPr>
          <w:rFonts w:hint="eastAsia" w:ascii="宋体" w:hAnsi="宋体" w:eastAsia="宋体" w:cs="宋体"/>
          <w:sz w:val="24"/>
          <w:szCs w:val="28"/>
        </w:rPr>
        <w:t>中国破产法律制度并非在个人破产制度的基础上孕育和发展的，而是国家从社会的需要自上而下的推广，故我国破产法仅对企业法人破产予以规定。而我国传统偿债理念与个人破产制度的功能之间存在冲突，导致我国个人破产制度的长期缺位。然而，自然经济基础上所设定的传统偿债制度具有其历史局限性，现代法律制度为保障债务人的基本权利创设个人破产制度以平衡债权人与债务人之利益，能够维护社会秩序的稳定，保障债务人人权，这是现代法治的目标。</w:t>
      </w:r>
      <w:r>
        <w:rPr>
          <w:rStyle w:val="12"/>
          <w:rFonts w:hint="eastAsia" w:ascii="宋体" w:hAnsi="宋体" w:eastAsia="宋体" w:cs="宋体"/>
          <w:sz w:val="24"/>
          <w:szCs w:val="28"/>
        </w:rPr>
        <w:footnoteReference w:id="19"/>
      </w:r>
      <w:r>
        <w:rPr>
          <w:rFonts w:hint="eastAsia" w:ascii="宋体" w:hAnsi="宋体" w:eastAsia="宋体" w:cs="宋体"/>
          <w:sz w:val="24"/>
          <w:szCs w:val="28"/>
        </w:rPr>
        <w:t>思想层面改变个人破产观点，消除债权人与债务人对破产制度的错误认识，不仅从社会层面普及个人破产制度的优势，亦从当事人的视角出发，告知、引导、鼓励当事人采以个人破产制度化解执行不能情形下的执行困境。</w:t>
      </w:r>
    </w:p>
    <w:p>
      <w:pPr>
        <w:spacing w:line="360" w:lineRule="auto"/>
        <w:ind w:firstLine="482" w:firstLineChars="200"/>
        <w:rPr>
          <w:rFonts w:ascii="宋体" w:hAnsi="宋体" w:eastAsia="宋体" w:cs="宋体"/>
          <w:b/>
          <w:bCs/>
          <w:sz w:val="24"/>
          <w:szCs w:val="28"/>
        </w:rPr>
      </w:pPr>
      <w:r>
        <w:rPr>
          <w:rFonts w:hint="eastAsia" w:ascii="宋体" w:hAnsi="宋体" w:eastAsia="宋体" w:cs="宋体"/>
          <w:b/>
          <w:bCs/>
          <w:sz w:val="24"/>
          <w:szCs w:val="28"/>
        </w:rPr>
        <w:drawing>
          <wp:anchor distT="0" distB="0" distL="114300" distR="114300" simplePos="0" relativeHeight="251662336" behindDoc="0" locked="0" layoutInCell="1" allowOverlap="1">
            <wp:simplePos x="0" y="0"/>
            <wp:positionH relativeFrom="column">
              <wp:posOffset>-473710</wp:posOffset>
            </wp:positionH>
            <wp:positionV relativeFrom="paragraph">
              <wp:posOffset>379095</wp:posOffset>
            </wp:positionV>
            <wp:extent cx="6171565" cy="3200400"/>
            <wp:effectExtent l="0" t="0" r="63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6171565" cy="3200400"/>
                    </a:xfrm>
                    <a:prstGeom prst="rect">
                      <a:avLst/>
                    </a:prstGeom>
                  </pic:spPr>
                </pic:pic>
              </a:graphicData>
            </a:graphic>
          </wp:anchor>
        </w:drawing>
      </w:r>
      <w:r>
        <w:rPr>
          <w:rFonts w:hint="eastAsia" w:ascii="宋体" w:hAnsi="宋体" w:eastAsia="宋体" w:cs="宋体"/>
          <w:b/>
          <w:bCs/>
          <w:sz w:val="24"/>
          <w:szCs w:val="28"/>
        </w:rPr>
        <w:t>（二）个人执行转破产程序的基本构想（如图</w:t>
      </w:r>
      <w:r>
        <w:rPr>
          <w:rFonts w:ascii="宋体" w:hAnsi="宋体" w:eastAsia="宋体" w:cs="宋体"/>
          <w:b/>
          <w:bCs/>
          <w:sz w:val="24"/>
          <w:szCs w:val="28"/>
        </w:rPr>
        <w:t>4</w:t>
      </w:r>
      <w:r>
        <w:rPr>
          <w:rFonts w:hint="eastAsia" w:ascii="宋体" w:hAnsi="宋体" w:eastAsia="宋体" w:cs="宋体"/>
          <w:b/>
          <w:bCs/>
          <w:sz w:val="24"/>
          <w:szCs w:val="28"/>
        </w:rPr>
        <w:t>）</w:t>
      </w:r>
    </w:p>
    <w:p>
      <w:pPr>
        <w:pStyle w:val="3"/>
        <w:jc w:val="center"/>
        <w:rPr>
          <w:rFonts w:ascii="仿宋" w:hAnsi="仿宋" w:eastAsia="仿宋" w:cs="仿宋"/>
          <w:sz w:val="24"/>
          <w:szCs w:val="24"/>
        </w:rPr>
      </w:pPr>
      <w:r>
        <w:rPr>
          <w:rFonts w:hint="eastAsia" w:ascii="仿宋" w:hAnsi="仿宋" w:eastAsia="仿宋" w:cs="仿宋"/>
          <w:sz w:val="24"/>
          <w:szCs w:val="24"/>
        </w:rPr>
        <w:t>图</w:t>
      </w:r>
      <w:r>
        <w:rPr>
          <w:rFonts w:ascii="仿宋" w:hAnsi="仿宋" w:eastAsia="仿宋" w:cs="仿宋"/>
          <w:sz w:val="24"/>
          <w:szCs w:val="24"/>
        </w:rPr>
        <w:t>4</w:t>
      </w:r>
      <w:r>
        <w:rPr>
          <w:rFonts w:hint="eastAsia" w:ascii="仿宋" w:hAnsi="仿宋" w:eastAsia="仿宋" w:cs="仿宋"/>
          <w:sz w:val="24"/>
          <w:szCs w:val="24"/>
        </w:rPr>
        <w:t>：个人“执转破”机制的构想</w:t>
      </w:r>
    </w:p>
    <w:p>
      <w:pPr>
        <w:ind w:firstLine="241" w:firstLineChars="100"/>
        <w:rPr>
          <w:rFonts w:ascii="宋体" w:hAnsi="宋体" w:eastAsia="宋体" w:cs="宋体"/>
          <w:b/>
          <w:bCs/>
          <w:sz w:val="24"/>
          <w:szCs w:val="28"/>
        </w:rPr>
      </w:pPr>
      <w:r>
        <w:rPr>
          <w:rFonts w:hint="eastAsia" w:ascii="宋体" w:hAnsi="宋体" w:eastAsia="宋体" w:cs="宋体"/>
          <w:b/>
          <w:bCs/>
          <w:sz w:val="24"/>
          <w:szCs w:val="28"/>
        </w:rPr>
        <w:t>结语</w:t>
      </w:r>
    </w:p>
    <w:p>
      <w:pPr>
        <w:spacing w:line="360" w:lineRule="auto"/>
        <w:ind w:firstLine="480" w:firstLineChars="200"/>
        <w:rPr>
          <w:rFonts w:ascii="宋体" w:hAnsi="宋体" w:eastAsia="宋体" w:cs="宋体"/>
          <w:sz w:val="24"/>
          <w:szCs w:val="28"/>
        </w:rPr>
      </w:pPr>
      <w:r>
        <w:rPr>
          <w:rFonts w:ascii="宋体" w:hAnsi="宋体" w:eastAsia="宋体" w:cs="宋体"/>
          <w:sz w:val="24"/>
          <w:szCs w:val="28"/>
        </w:rPr>
        <w:t>执行难困境有碍诉讼程序定纷止争功能的实现。破产程序的创设为资不抵债</w:t>
      </w:r>
      <w:r>
        <w:rPr>
          <w:rFonts w:hint="eastAsia" w:ascii="宋体" w:hAnsi="宋体" w:eastAsia="宋体" w:cs="宋体"/>
          <w:sz w:val="24"/>
          <w:szCs w:val="28"/>
        </w:rPr>
        <w:t>的</w:t>
      </w:r>
      <w:r>
        <w:rPr>
          <w:rFonts w:ascii="宋体" w:hAnsi="宋体" w:eastAsia="宋体" w:cs="宋体"/>
          <w:sz w:val="24"/>
          <w:szCs w:val="28"/>
        </w:rPr>
        <w:t>债务人提供整体性、终局性解决债权债务纠纷，实现公平清偿提供可行路径。执行程序与破产程序的衔接适用能够有效解决执行不能的问题，虽然我国尚未建立起成熟的个人破产制度，但个人债务清理机制以及企业执行转破产经验为我国个人“执转破”提供有益参考。</w:t>
      </w:r>
      <w:r>
        <w:rPr>
          <w:rFonts w:ascii="宋体" w:hAnsi="宋体" w:eastAsia="宋体" w:cs="宋体"/>
          <w:sz w:val="24"/>
          <w:szCs w:val="28"/>
        </w:rPr>
        <w:br w:type="textWrapping"/>
      </w:r>
      <w:r>
        <w:rPr>
          <w:rFonts w:hint="eastAsia" w:ascii="宋体" w:hAnsi="宋体" w:eastAsia="宋体" w:cs="宋体"/>
          <w:sz w:val="24"/>
          <w:szCs w:val="28"/>
        </w:rPr>
        <w:t xml:space="preserve"> </w:t>
      </w:r>
      <w:r>
        <w:rPr>
          <w:rFonts w:ascii="宋体" w:hAnsi="宋体" w:eastAsia="宋体" w:cs="宋体"/>
          <w:sz w:val="24"/>
          <w:szCs w:val="28"/>
        </w:rPr>
        <w:t xml:space="preserve"> 个人“执转破”机制构建的核心在于如何实现执行程序与破产程序的衔接，其中破产程序的启动应当以尊重当事人意思自治为基本原则，但在“该破不破”情形下基于节约司法资源、有效化解纠纷的考量，以法院依职权启动“执转破”程序为例外，其中执行法院与破产法院应当实现有效联合、各司其职，一方面尽职履行告知、释明义务，增进当事人对“执转破”程序的认知，另一方面应当进行及时的信息交流与交换，提高司法效率，最大化保障债权债务当事人的合法利益。总而言之，个人“执转破”机制的构建</w:t>
      </w:r>
      <w:r>
        <w:rPr>
          <w:rFonts w:hint="eastAsia" w:ascii="宋体" w:hAnsi="宋体" w:eastAsia="宋体" w:cs="宋体"/>
          <w:sz w:val="24"/>
          <w:szCs w:val="28"/>
        </w:rPr>
        <w:t>有利于</w:t>
      </w:r>
      <w:r>
        <w:rPr>
          <w:rFonts w:ascii="宋体" w:hAnsi="宋体" w:eastAsia="宋体" w:cs="宋体"/>
          <w:sz w:val="24"/>
          <w:szCs w:val="28"/>
        </w:rPr>
        <w:t>整体性解决自然人债权债务纠纷，有效促进市场主体经济再生，激发市场经济活力。</w:t>
      </w:r>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r>
        <w:separator/>
      </w:r>
    </w:p>
  </w:footnote>
  <w:footnote w:type="continuationSeparator" w:id="41">
    <w:p>
      <w:r>
        <w:continuationSeparator/>
      </w:r>
    </w:p>
  </w:footnote>
  <w:footnote w:id="0">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数据来源：《最高人民法院关于人民法院解决“执行难”工作情况的报告》</w:t>
      </w:r>
      <w:r>
        <w:fldChar w:fldCharType="begin"/>
      </w:r>
      <w:r>
        <w:instrText xml:space="preserve"> HYPERLINK "https://www.court.gov.cn/zixun-xiangqing-124841.html2" </w:instrText>
      </w:r>
      <w:r>
        <w:fldChar w:fldCharType="separate"/>
      </w:r>
      <w:r>
        <w:rPr>
          <w:rStyle w:val="11"/>
          <w:rFonts w:ascii="宋体" w:hAnsi="宋体" w:eastAsia="宋体" w:cs="宋体"/>
        </w:rPr>
        <w:t>https://www.court.gov.cn/zixun-xiangqing-124841.html2</w:t>
      </w:r>
      <w:r>
        <w:rPr>
          <w:rStyle w:val="11"/>
          <w:rFonts w:ascii="宋体" w:hAnsi="宋体" w:eastAsia="宋体" w:cs="宋体"/>
        </w:rPr>
        <w:fldChar w:fldCharType="end"/>
      </w:r>
      <w:r>
        <w:rPr>
          <w:rFonts w:hint="eastAsia" w:ascii="宋体" w:hAnsi="宋体" w:eastAsia="宋体" w:cs="宋体"/>
        </w:rPr>
        <w:t>，访问日期：2</w:t>
      </w:r>
      <w:r>
        <w:rPr>
          <w:rFonts w:ascii="宋体" w:hAnsi="宋体" w:eastAsia="宋体" w:cs="宋体"/>
        </w:rPr>
        <w:t>022</w:t>
      </w:r>
      <w:r>
        <w:rPr>
          <w:rFonts w:hint="eastAsia" w:ascii="宋体" w:hAnsi="宋体" w:eastAsia="宋体" w:cs="宋体"/>
        </w:rPr>
        <w:t>年</w:t>
      </w:r>
      <w:r>
        <w:rPr>
          <w:rFonts w:ascii="宋体" w:hAnsi="宋体" w:eastAsia="宋体" w:cs="宋体"/>
        </w:rPr>
        <w:t>11</w:t>
      </w:r>
      <w:r>
        <w:rPr>
          <w:rFonts w:hint="eastAsia" w:ascii="宋体" w:hAnsi="宋体" w:eastAsia="宋体" w:cs="宋体"/>
        </w:rPr>
        <w:t>月2</w:t>
      </w:r>
      <w:r>
        <w:rPr>
          <w:rFonts w:ascii="宋体" w:hAnsi="宋体" w:eastAsia="宋体" w:cs="宋体"/>
        </w:rPr>
        <w:t>4</w:t>
      </w:r>
      <w:r>
        <w:rPr>
          <w:rFonts w:hint="eastAsia" w:ascii="宋体" w:hAnsi="宋体" w:eastAsia="宋体" w:cs="宋体"/>
        </w:rPr>
        <w:t>日。</w:t>
      </w:r>
    </w:p>
  </w:footnote>
  <w:footnote w:id="1">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数据来源：中华人民共和国最高人民法院公报：司法统计</w:t>
      </w:r>
      <w:r>
        <w:fldChar w:fldCharType="begin"/>
      </w:r>
      <w:r>
        <w:instrText xml:space="preserve"> HYPERLINK "http://gongbao.court.gov.cn/ArticleList.html?serial_no=sftj" </w:instrText>
      </w:r>
      <w:r>
        <w:fldChar w:fldCharType="separate"/>
      </w:r>
      <w:r>
        <w:rPr>
          <w:rStyle w:val="11"/>
          <w:rFonts w:hint="eastAsia" w:ascii="宋体" w:hAnsi="宋体" w:eastAsia="宋体" w:cs="宋体"/>
        </w:rPr>
        <w:t>http://gongbao.court.gov.cn/ArticleList.html?serial_no=sftj</w:t>
      </w:r>
      <w:r>
        <w:rPr>
          <w:rStyle w:val="11"/>
          <w:rFonts w:hint="eastAsia" w:ascii="宋体" w:hAnsi="宋体" w:eastAsia="宋体" w:cs="宋体"/>
        </w:rPr>
        <w:fldChar w:fldCharType="end"/>
      </w:r>
      <w:r>
        <w:rPr>
          <w:rFonts w:hint="eastAsia" w:ascii="宋体" w:hAnsi="宋体" w:eastAsia="宋体" w:cs="宋体"/>
        </w:rPr>
        <w:t>， 访问日期：2</w:t>
      </w:r>
      <w:r>
        <w:rPr>
          <w:rFonts w:ascii="宋体" w:hAnsi="宋体" w:eastAsia="宋体" w:cs="宋体"/>
        </w:rPr>
        <w:t>022</w:t>
      </w:r>
      <w:r>
        <w:rPr>
          <w:rFonts w:hint="eastAsia" w:ascii="宋体" w:hAnsi="宋体" w:eastAsia="宋体" w:cs="宋体"/>
        </w:rPr>
        <w:t>年1</w:t>
      </w:r>
      <w:r>
        <w:rPr>
          <w:rFonts w:ascii="宋体" w:hAnsi="宋体" w:eastAsia="宋体" w:cs="宋体"/>
        </w:rPr>
        <w:t>1</w:t>
      </w:r>
      <w:r>
        <w:rPr>
          <w:rFonts w:hint="eastAsia" w:ascii="宋体" w:hAnsi="宋体" w:eastAsia="宋体" w:cs="宋体"/>
        </w:rPr>
        <w:t>月2</w:t>
      </w:r>
      <w:r>
        <w:rPr>
          <w:rFonts w:ascii="宋体" w:hAnsi="宋体" w:eastAsia="宋体" w:cs="宋体"/>
        </w:rPr>
        <w:t>4</w:t>
      </w:r>
      <w:r>
        <w:rPr>
          <w:rFonts w:hint="eastAsia" w:ascii="宋体" w:hAnsi="宋体" w:eastAsia="宋体" w:cs="宋体"/>
        </w:rPr>
        <w:t>日。</w:t>
      </w:r>
    </w:p>
  </w:footnote>
  <w:footnote w:id="2">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四川省高级人民法院：《2021年度全省法院执行典型案例：执行不能篇》，</w:t>
      </w:r>
      <w:r>
        <w:fldChar w:fldCharType="begin"/>
      </w:r>
      <w:r>
        <w:instrText xml:space="preserve"> HYPERLINK "http://scfy.scssfw.gov.cn/article/detail/2021/04/id/5941189.shtml" </w:instrText>
      </w:r>
      <w:r>
        <w:fldChar w:fldCharType="separate"/>
      </w:r>
      <w:r>
        <w:rPr>
          <w:rStyle w:val="11"/>
          <w:rFonts w:hint="eastAsia" w:ascii="宋体" w:hAnsi="宋体" w:eastAsia="宋体" w:cs="宋体"/>
        </w:rPr>
        <w:t>http://scfy.scssfw.gov.cn/article/detail/2021/04/id/5941189.shtml</w:t>
      </w:r>
      <w:r>
        <w:rPr>
          <w:rStyle w:val="11"/>
          <w:rFonts w:hint="eastAsia" w:ascii="宋体" w:hAnsi="宋体" w:eastAsia="宋体" w:cs="宋体"/>
        </w:rPr>
        <w:fldChar w:fldCharType="end"/>
      </w:r>
      <w:r>
        <w:rPr>
          <w:rFonts w:hint="eastAsia" w:ascii="宋体" w:hAnsi="宋体" w:eastAsia="宋体" w:cs="宋体"/>
        </w:rPr>
        <w:t>，访问日期：2</w:t>
      </w:r>
      <w:r>
        <w:rPr>
          <w:rFonts w:ascii="宋体" w:hAnsi="宋体" w:eastAsia="宋体" w:cs="宋体"/>
        </w:rPr>
        <w:t>022</w:t>
      </w:r>
      <w:r>
        <w:rPr>
          <w:rFonts w:hint="eastAsia" w:ascii="宋体" w:hAnsi="宋体" w:eastAsia="宋体" w:cs="宋体"/>
        </w:rPr>
        <w:t>年1</w:t>
      </w:r>
      <w:r>
        <w:rPr>
          <w:rFonts w:ascii="宋体" w:hAnsi="宋体" w:eastAsia="宋体" w:cs="宋体"/>
        </w:rPr>
        <w:t>1</w:t>
      </w:r>
      <w:r>
        <w:rPr>
          <w:rFonts w:hint="eastAsia" w:ascii="宋体" w:hAnsi="宋体" w:eastAsia="宋体" w:cs="宋体"/>
        </w:rPr>
        <w:t>月2</w:t>
      </w:r>
      <w:r>
        <w:rPr>
          <w:rFonts w:ascii="宋体" w:hAnsi="宋体" w:eastAsia="宋体" w:cs="宋体"/>
        </w:rPr>
        <w:t>4</w:t>
      </w:r>
      <w:r>
        <w:rPr>
          <w:rFonts w:hint="eastAsia" w:ascii="宋体" w:hAnsi="宋体" w:eastAsia="宋体" w:cs="宋体"/>
        </w:rPr>
        <w:t>日。</w:t>
      </w:r>
    </w:p>
  </w:footnote>
  <w:footnote w:id="3">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王欣新：《破产法》（第四版），中国人民大学出版社2019年第4版。</w:t>
      </w:r>
    </w:p>
  </w:footnote>
  <w:footnote w:id="4">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徐阳光：《执行与破产之功能界分与制度衔接》，载《法律适用》2017年第11期。</w:t>
      </w:r>
    </w:p>
  </w:footnote>
  <w:footnote w:id="5">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王雪丹：《试论破产程序与执行程序的竞争与共生》，载《江西师范大学学报（哲学社会科学版）》2018年第5期。</w:t>
      </w:r>
    </w:p>
  </w:footnote>
  <w:footnote w:id="6">
    <w:p>
      <w:pPr>
        <w:pStyle w:val="6"/>
        <w:rPr>
          <w:rFonts w:ascii="宋体" w:hAnsi="宋体" w:eastAsia="宋体"/>
        </w:rPr>
      </w:pPr>
      <w:r>
        <w:rPr>
          <w:rStyle w:val="12"/>
          <w:rFonts w:ascii="宋体" w:hAnsi="宋体" w:eastAsia="宋体"/>
        </w:rPr>
        <w:footnoteRef/>
      </w:r>
      <w:r>
        <w:rPr>
          <w:rFonts w:ascii="宋体" w:hAnsi="宋体" w:eastAsia="宋体"/>
        </w:rPr>
        <w:t xml:space="preserve"> </w:t>
      </w:r>
      <w:r>
        <w:rPr>
          <w:rFonts w:hint="eastAsia" w:ascii="宋体" w:hAnsi="宋体" w:eastAsia="宋体"/>
        </w:rPr>
        <w:t>《全国首份个人债务清理（“个人破产”）审判报告暨十大典型案例》，载微信公众号“破产法实务”，2</w:t>
      </w:r>
      <w:r>
        <w:rPr>
          <w:rFonts w:ascii="宋体" w:hAnsi="宋体" w:eastAsia="宋体"/>
        </w:rPr>
        <w:t>021</w:t>
      </w:r>
      <w:r>
        <w:rPr>
          <w:rFonts w:hint="eastAsia" w:ascii="宋体" w:hAnsi="宋体" w:eastAsia="宋体"/>
        </w:rPr>
        <w:t>年3月2</w:t>
      </w:r>
      <w:r>
        <w:rPr>
          <w:rFonts w:ascii="宋体" w:hAnsi="宋体" w:eastAsia="宋体"/>
        </w:rPr>
        <w:t>0</w:t>
      </w:r>
      <w:r>
        <w:rPr>
          <w:rFonts w:hint="eastAsia" w:ascii="宋体" w:hAnsi="宋体" w:eastAsia="宋体"/>
        </w:rPr>
        <w:t>日。</w:t>
      </w:r>
    </w:p>
  </w:footnote>
  <w:footnote w:id="7">
    <w:p>
      <w:pPr>
        <w:pStyle w:val="6"/>
        <w:rPr>
          <w:rFonts w:ascii="宋体" w:hAnsi="宋体" w:eastAsia="宋体"/>
        </w:rPr>
      </w:pPr>
      <w:r>
        <w:rPr>
          <w:rStyle w:val="12"/>
          <w:rFonts w:ascii="宋体" w:hAnsi="宋体" w:eastAsia="宋体"/>
        </w:rPr>
        <w:footnoteRef/>
      </w:r>
      <w:r>
        <w:rPr>
          <w:rFonts w:hint="eastAsia" w:ascii="宋体" w:hAnsi="宋体" w:eastAsia="宋体"/>
        </w:rPr>
        <w:t>江苏省苏州市吴江区人民法院发布</w:t>
      </w:r>
      <w:r>
        <w:rPr>
          <w:rFonts w:ascii="宋体" w:hAnsi="宋体" w:eastAsia="宋体"/>
        </w:rPr>
        <w:t>2021年度破产十大典型案例之</w:t>
      </w:r>
      <w:r>
        <w:rPr>
          <w:rFonts w:hint="eastAsia" w:ascii="宋体" w:hAnsi="宋体" w:eastAsia="宋体"/>
        </w:rPr>
        <w:t>八</w:t>
      </w:r>
      <w:r>
        <w:rPr>
          <w:rFonts w:ascii="宋体" w:hAnsi="宋体" w:eastAsia="宋体"/>
        </w:rPr>
        <w:t>：</w:t>
      </w:r>
      <w:r>
        <w:rPr>
          <w:rFonts w:hint="eastAsia" w:ascii="宋体" w:hAnsi="宋体" w:eastAsia="宋体"/>
        </w:rPr>
        <w:t>邱某某类个人破产程序案</w:t>
      </w:r>
      <w:r>
        <w:fldChar w:fldCharType="begin"/>
      </w:r>
      <w:r>
        <w:instrText xml:space="preserve"> HYPERLINK "https://libvpn.zuel.edu.cn/piswww.pkulaw.com/pal/a3ecfd5d734f711d958f4a9432869d0596307d4a150cd0a7bdfb.html" </w:instrText>
      </w:r>
      <w:r>
        <w:fldChar w:fldCharType="separate"/>
      </w:r>
      <w:r>
        <w:rPr>
          <w:rStyle w:val="11"/>
          <w:rFonts w:ascii="宋体" w:hAnsi="宋体" w:eastAsia="宋体"/>
        </w:rPr>
        <w:t>https://libvpn.zuel.edu.cn/piswww.pkulaw.com/pal/a3ecfd5d734f711d958f4a9432869d0596307d4a150cd0a7bdfb.html</w:t>
      </w:r>
      <w:r>
        <w:rPr>
          <w:rStyle w:val="11"/>
          <w:rFonts w:ascii="宋体" w:hAnsi="宋体" w:eastAsia="宋体"/>
        </w:rPr>
        <w:fldChar w:fldCharType="end"/>
      </w:r>
      <w:r>
        <w:rPr>
          <w:rFonts w:hint="eastAsia" w:ascii="宋体" w:hAnsi="宋体" w:eastAsia="宋体"/>
        </w:rPr>
        <w:t>， 访问日期：2</w:t>
      </w:r>
      <w:r>
        <w:rPr>
          <w:rFonts w:ascii="宋体" w:hAnsi="宋体" w:eastAsia="宋体"/>
        </w:rPr>
        <w:t>022</w:t>
      </w:r>
      <w:r>
        <w:rPr>
          <w:rFonts w:hint="eastAsia" w:ascii="宋体" w:hAnsi="宋体" w:eastAsia="宋体"/>
        </w:rPr>
        <w:t>年1</w:t>
      </w:r>
      <w:r>
        <w:rPr>
          <w:rFonts w:ascii="宋体" w:hAnsi="宋体" w:eastAsia="宋体"/>
        </w:rPr>
        <w:t>1</w:t>
      </w:r>
      <w:r>
        <w:rPr>
          <w:rFonts w:hint="eastAsia" w:ascii="宋体" w:hAnsi="宋体" w:eastAsia="宋体"/>
        </w:rPr>
        <w:t>月2</w:t>
      </w:r>
      <w:r>
        <w:rPr>
          <w:rFonts w:ascii="宋体" w:hAnsi="宋体" w:eastAsia="宋体"/>
        </w:rPr>
        <w:t>4</w:t>
      </w:r>
      <w:r>
        <w:rPr>
          <w:rFonts w:hint="eastAsia" w:ascii="宋体" w:hAnsi="宋体" w:eastAsia="宋体"/>
        </w:rPr>
        <w:t>日。</w:t>
      </w:r>
    </w:p>
  </w:footnote>
  <w:footnote w:id="8">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殷慧芬：《个人破产立法的现实基础和基本理念》，载《法律适用》2019年第11期。</w:t>
      </w:r>
    </w:p>
  </w:footnote>
  <w:footnote w:id="9">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李贤华、郭金生：《域外法院执行转破产衔接方法》，载《人民法院报》2018年8月17日第八版。</w:t>
      </w:r>
    </w:p>
  </w:footnote>
  <w:footnote w:id="10">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张永红：《英国个人破产案件的处理及启示》，载《人民司法》2020年第10期。</w:t>
      </w:r>
    </w:p>
  </w:footnote>
  <w:footnote w:id="11">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李贤华、郭金生：《域外法院执行转破产衔接方法》，载《人民法院报》2018年8月17日第八版。</w:t>
      </w:r>
    </w:p>
  </w:footnote>
  <w:footnote w:id="12">
    <w:p>
      <w:pPr>
        <w:pStyle w:val="6"/>
        <w:rPr>
          <w:rFonts w:ascii="宋体" w:hAnsi="宋体" w:eastAsia="宋体"/>
        </w:rPr>
      </w:pPr>
      <w:r>
        <w:rPr>
          <w:rStyle w:val="12"/>
          <w:rFonts w:ascii="宋体" w:hAnsi="宋体" w:eastAsia="宋体"/>
        </w:rPr>
        <w:footnoteRef/>
      </w:r>
      <w:r>
        <w:rPr>
          <w:rFonts w:ascii="宋体" w:hAnsi="宋体" w:eastAsia="宋体"/>
        </w:rPr>
        <w:t xml:space="preserve"> </w:t>
      </w:r>
      <w:r>
        <w:rPr>
          <w:rFonts w:hint="eastAsia" w:ascii="宋体" w:hAnsi="宋体" w:eastAsia="宋体"/>
        </w:rPr>
        <w:t>最高人民法院发布</w:t>
      </w:r>
      <w:r>
        <w:rPr>
          <w:rFonts w:ascii="宋体" w:hAnsi="宋体" w:eastAsia="宋体"/>
        </w:rPr>
        <w:t>10起全国法院破产典型案例之二：松晖实业（深圳）有限公司执行转破产清算案</w:t>
      </w:r>
    </w:p>
    <w:p>
      <w:pPr>
        <w:pStyle w:val="6"/>
        <w:rPr>
          <w:rFonts w:ascii="宋体" w:hAnsi="宋体" w:eastAsia="宋体"/>
        </w:rPr>
      </w:pPr>
      <w:r>
        <w:fldChar w:fldCharType="begin"/>
      </w:r>
      <w:r>
        <w:instrText xml:space="preserve"> HYPERLINK "https://libvpn.zuel.edu.cn/piswww.pkulaw.com/pal/a3ecfd5d734f711d548f9abe6e1b2d4d9564dcabef8b11b6bdfb.html" </w:instrText>
      </w:r>
      <w:r>
        <w:fldChar w:fldCharType="separate"/>
      </w:r>
      <w:r>
        <w:rPr>
          <w:rStyle w:val="11"/>
          <w:rFonts w:ascii="宋体" w:hAnsi="宋体" w:eastAsia="宋体"/>
        </w:rPr>
        <w:t>https://libvpn.zuel.edu.cn/piswww.pkulaw.com/pal/a3ecfd5d734f711d548f9abe6e1b2d4d9564dcabef8b11b6bdfb.html</w:t>
      </w:r>
      <w:r>
        <w:rPr>
          <w:rStyle w:val="11"/>
          <w:rFonts w:ascii="宋体" w:hAnsi="宋体" w:eastAsia="宋体"/>
        </w:rPr>
        <w:fldChar w:fldCharType="end"/>
      </w:r>
      <w:r>
        <w:rPr>
          <w:rFonts w:hint="eastAsia" w:ascii="宋体" w:hAnsi="宋体" w:eastAsia="宋体"/>
        </w:rPr>
        <w:t>， 访问日期：2</w:t>
      </w:r>
      <w:r>
        <w:rPr>
          <w:rFonts w:ascii="宋体" w:hAnsi="宋体" w:eastAsia="宋体"/>
        </w:rPr>
        <w:t>022</w:t>
      </w:r>
      <w:r>
        <w:rPr>
          <w:rFonts w:hint="eastAsia" w:ascii="宋体" w:hAnsi="宋体" w:eastAsia="宋体"/>
        </w:rPr>
        <w:t>年1</w:t>
      </w:r>
      <w:r>
        <w:rPr>
          <w:rFonts w:ascii="宋体" w:hAnsi="宋体" w:eastAsia="宋体"/>
        </w:rPr>
        <w:t>1</w:t>
      </w:r>
      <w:r>
        <w:rPr>
          <w:rFonts w:hint="eastAsia" w:ascii="宋体" w:hAnsi="宋体" w:eastAsia="宋体"/>
        </w:rPr>
        <w:t>月2</w:t>
      </w:r>
      <w:r>
        <w:rPr>
          <w:rFonts w:ascii="宋体" w:hAnsi="宋体" w:eastAsia="宋体"/>
        </w:rPr>
        <w:t>4</w:t>
      </w:r>
      <w:r>
        <w:rPr>
          <w:rFonts w:hint="eastAsia" w:ascii="宋体" w:hAnsi="宋体" w:eastAsia="宋体"/>
        </w:rPr>
        <w:t>日</w:t>
      </w:r>
    </w:p>
  </w:footnote>
  <w:footnote w:id="13">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王硕、周寒梅：《“执行转破产”的实务解读及要点分析》，载公众微信号“金融法律评论与实务”，2</w:t>
      </w:r>
      <w:r>
        <w:rPr>
          <w:rFonts w:ascii="宋体" w:hAnsi="宋体" w:eastAsia="宋体" w:cs="宋体"/>
        </w:rPr>
        <w:t>018</w:t>
      </w:r>
      <w:r>
        <w:rPr>
          <w:rFonts w:hint="eastAsia" w:ascii="宋体" w:hAnsi="宋体" w:eastAsia="宋体" w:cs="宋体"/>
        </w:rPr>
        <w:t>年1</w:t>
      </w:r>
      <w:r>
        <w:rPr>
          <w:rFonts w:ascii="宋体" w:hAnsi="宋体" w:eastAsia="宋体" w:cs="宋体"/>
        </w:rPr>
        <w:t>0</w:t>
      </w:r>
      <w:r>
        <w:rPr>
          <w:rFonts w:hint="eastAsia" w:ascii="宋体" w:hAnsi="宋体" w:eastAsia="宋体" w:cs="宋体"/>
        </w:rPr>
        <w:t>月1</w:t>
      </w:r>
      <w:r>
        <w:rPr>
          <w:rFonts w:ascii="宋体" w:hAnsi="宋体" w:eastAsia="宋体" w:cs="宋体"/>
        </w:rPr>
        <w:t>1</w:t>
      </w:r>
      <w:r>
        <w:rPr>
          <w:rFonts w:hint="eastAsia" w:ascii="宋体" w:hAnsi="宋体" w:eastAsia="宋体" w:cs="宋体"/>
        </w:rPr>
        <w:t>日。</w:t>
      </w:r>
    </w:p>
  </w:footnote>
  <w:footnote w:id="14">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陈琳：《完善执行转破产程序衔接中的信息双向沟通机制》，载《人民司法》2022年第28期。</w:t>
      </w:r>
    </w:p>
  </w:footnote>
  <w:footnote w:id="15">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陈琳：《完善执行转破产程序衔接中的信息双向沟通机制》，载《人民司法》2022年第28期。</w:t>
      </w:r>
    </w:p>
  </w:footnote>
  <w:footnote w:id="16">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王富博：《关于&lt;最高人民法院关于执行案件移送破产审查若干问题的指导意见&gt;的解读》，载《法律适用》2017年第11期。</w:t>
      </w:r>
    </w:p>
  </w:footnote>
  <w:footnote w:id="17">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江苏省连云港市中级人民法院(2021)苏07破终2号民事裁定书。</w:t>
      </w:r>
    </w:p>
  </w:footnote>
  <w:footnote w:id="18">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王富博：《关于&lt;最高人民法院关于执行案件移送破产审查若干问题的指导意见&gt;的解读》，载《法律适用》2017年第11期。</w:t>
      </w:r>
    </w:p>
  </w:footnote>
  <w:footnote w:id="19">
    <w:p>
      <w:pPr>
        <w:pStyle w:val="6"/>
        <w:rPr>
          <w:rFonts w:ascii="宋体" w:hAnsi="宋体" w:eastAsia="宋体" w:cs="宋体"/>
        </w:rPr>
      </w:pPr>
      <w:r>
        <w:rPr>
          <w:rStyle w:val="12"/>
          <w:rFonts w:hint="eastAsia" w:ascii="宋体" w:hAnsi="宋体" w:eastAsia="宋体" w:cs="宋体"/>
        </w:rPr>
        <w:footnoteRef/>
      </w:r>
      <w:r>
        <w:rPr>
          <w:rFonts w:hint="eastAsia" w:ascii="宋体" w:hAnsi="宋体" w:eastAsia="宋体" w:cs="宋体"/>
        </w:rPr>
        <w:t xml:space="preserve"> 杜万华：《正确认识破产保护法律制度在社会主义市场经济制度体系中的地位和作用》，载公众微信号“破产重组法务”，2</w:t>
      </w:r>
      <w:r>
        <w:rPr>
          <w:rFonts w:ascii="宋体" w:hAnsi="宋体" w:eastAsia="宋体" w:cs="宋体"/>
        </w:rPr>
        <w:t>022</w:t>
      </w:r>
      <w:r>
        <w:rPr>
          <w:rFonts w:hint="eastAsia" w:ascii="宋体" w:hAnsi="宋体" w:eastAsia="宋体" w:cs="宋体"/>
        </w:rPr>
        <w:t>年1</w:t>
      </w:r>
      <w:r>
        <w:rPr>
          <w:rFonts w:ascii="宋体" w:hAnsi="宋体" w:eastAsia="宋体" w:cs="宋体"/>
        </w:rPr>
        <w:t>0</w:t>
      </w:r>
      <w:r>
        <w:rPr>
          <w:rFonts w:hint="eastAsia" w:ascii="宋体" w:hAnsi="宋体" w:eastAsia="宋体" w:cs="宋体"/>
        </w:rPr>
        <w:t>月1</w:t>
      </w:r>
      <w:r>
        <w:rPr>
          <w:rFonts w:ascii="宋体" w:hAnsi="宋体" w:eastAsia="宋体" w:cs="宋体"/>
        </w:rPr>
        <w:t>8</w:t>
      </w:r>
      <w:r>
        <w:rPr>
          <w:rFonts w:hint="eastAsia" w:ascii="宋体" w:hAnsi="宋体" w:eastAsia="宋体" w:cs="宋体"/>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47845"/>
    <w:multiLevelType w:val="singleLevel"/>
    <w:tmpl w:val="7CD47845"/>
    <w:lvl w:ilvl="0" w:tentative="0">
      <w:start w:val="5"/>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40"/>
    <w:footnote w:id="4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mOGMzZDc3NjcyOGYxM2RiZjM3MDNlNDJjNzZmM2UifQ=="/>
  </w:docVars>
  <w:rsids>
    <w:rsidRoot w:val="009F6791"/>
    <w:rsid w:val="0004057A"/>
    <w:rsid w:val="0004364C"/>
    <w:rsid w:val="00045C6F"/>
    <w:rsid w:val="00054BE1"/>
    <w:rsid w:val="000612B8"/>
    <w:rsid w:val="000625DF"/>
    <w:rsid w:val="00066957"/>
    <w:rsid w:val="00076E1A"/>
    <w:rsid w:val="00097B31"/>
    <w:rsid w:val="000B484E"/>
    <w:rsid w:val="000B618A"/>
    <w:rsid w:val="000C14BF"/>
    <w:rsid w:val="00103234"/>
    <w:rsid w:val="0018180A"/>
    <w:rsid w:val="00183523"/>
    <w:rsid w:val="00194134"/>
    <w:rsid w:val="001B7022"/>
    <w:rsid w:val="001C0551"/>
    <w:rsid w:val="001E15FF"/>
    <w:rsid w:val="001E6655"/>
    <w:rsid w:val="001E7090"/>
    <w:rsid w:val="002131BD"/>
    <w:rsid w:val="00222708"/>
    <w:rsid w:val="00224BA5"/>
    <w:rsid w:val="00233FEF"/>
    <w:rsid w:val="00252442"/>
    <w:rsid w:val="00257FC2"/>
    <w:rsid w:val="00267A00"/>
    <w:rsid w:val="002706EC"/>
    <w:rsid w:val="002959DB"/>
    <w:rsid w:val="002B53E3"/>
    <w:rsid w:val="002B63E6"/>
    <w:rsid w:val="002F162F"/>
    <w:rsid w:val="00300C2A"/>
    <w:rsid w:val="003068E1"/>
    <w:rsid w:val="003227D1"/>
    <w:rsid w:val="00322962"/>
    <w:rsid w:val="0033647E"/>
    <w:rsid w:val="00340E40"/>
    <w:rsid w:val="00370E3E"/>
    <w:rsid w:val="003A4F0E"/>
    <w:rsid w:val="003A7B08"/>
    <w:rsid w:val="003B741F"/>
    <w:rsid w:val="003D3357"/>
    <w:rsid w:val="0040224A"/>
    <w:rsid w:val="00452CFC"/>
    <w:rsid w:val="00457F99"/>
    <w:rsid w:val="004601A4"/>
    <w:rsid w:val="004D79DE"/>
    <w:rsid w:val="004E3FAB"/>
    <w:rsid w:val="004F72DB"/>
    <w:rsid w:val="004F764F"/>
    <w:rsid w:val="00512398"/>
    <w:rsid w:val="00516046"/>
    <w:rsid w:val="00517D20"/>
    <w:rsid w:val="00540ACC"/>
    <w:rsid w:val="005739AD"/>
    <w:rsid w:val="00583451"/>
    <w:rsid w:val="00590F06"/>
    <w:rsid w:val="00594EAF"/>
    <w:rsid w:val="005D6D41"/>
    <w:rsid w:val="005E4308"/>
    <w:rsid w:val="0060704A"/>
    <w:rsid w:val="006228FA"/>
    <w:rsid w:val="0066555D"/>
    <w:rsid w:val="006939ED"/>
    <w:rsid w:val="00704F45"/>
    <w:rsid w:val="00706B0F"/>
    <w:rsid w:val="00731099"/>
    <w:rsid w:val="00774429"/>
    <w:rsid w:val="00781853"/>
    <w:rsid w:val="007F585F"/>
    <w:rsid w:val="008007AA"/>
    <w:rsid w:val="008135D0"/>
    <w:rsid w:val="00822B4E"/>
    <w:rsid w:val="00826A4C"/>
    <w:rsid w:val="0085066E"/>
    <w:rsid w:val="008559B4"/>
    <w:rsid w:val="00865A03"/>
    <w:rsid w:val="00880ED9"/>
    <w:rsid w:val="008830C0"/>
    <w:rsid w:val="0089475E"/>
    <w:rsid w:val="008A3003"/>
    <w:rsid w:val="008B07C2"/>
    <w:rsid w:val="008E2BEF"/>
    <w:rsid w:val="008E6827"/>
    <w:rsid w:val="008F10EC"/>
    <w:rsid w:val="00915DE1"/>
    <w:rsid w:val="009242C7"/>
    <w:rsid w:val="00926F3F"/>
    <w:rsid w:val="00942501"/>
    <w:rsid w:val="00942BAE"/>
    <w:rsid w:val="0096407B"/>
    <w:rsid w:val="0098085D"/>
    <w:rsid w:val="009A4584"/>
    <w:rsid w:val="009A4DD9"/>
    <w:rsid w:val="009C4C1F"/>
    <w:rsid w:val="009D3DFE"/>
    <w:rsid w:val="009E6626"/>
    <w:rsid w:val="009F6791"/>
    <w:rsid w:val="00A15484"/>
    <w:rsid w:val="00A40A22"/>
    <w:rsid w:val="00A43C33"/>
    <w:rsid w:val="00A4448B"/>
    <w:rsid w:val="00A70D0C"/>
    <w:rsid w:val="00A80A1F"/>
    <w:rsid w:val="00AA6B89"/>
    <w:rsid w:val="00AC27F4"/>
    <w:rsid w:val="00AC2FA2"/>
    <w:rsid w:val="00AD13C2"/>
    <w:rsid w:val="00AD17AD"/>
    <w:rsid w:val="00AE2DA0"/>
    <w:rsid w:val="00AE50C3"/>
    <w:rsid w:val="00B12906"/>
    <w:rsid w:val="00B36BA5"/>
    <w:rsid w:val="00B53698"/>
    <w:rsid w:val="00B555F6"/>
    <w:rsid w:val="00B95AED"/>
    <w:rsid w:val="00BA71B2"/>
    <w:rsid w:val="00BD6A2C"/>
    <w:rsid w:val="00BD7F9C"/>
    <w:rsid w:val="00BE4FA3"/>
    <w:rsid w:val="00BF3ECC"/>
    <w:rsid w:val="00C17CE8"/>
    <w:rsid w:val="00C312CB"/>
    <w:rsid w:val="00C332CC"/>
    <w:rsid w:val="00C62604"/>
    <w:rsid w:val="00CA04D1"/>
    <w:rsid w:val="00CA3C41"/>
    <w:rsid w:val="00CC0542"/>
    <w:rsid w:val="00CC7C8D"/>
    <w:rsid w:val="00CD3F1C"/>
    <w:rsid w:val="00CD7970"/>
    <w:rsid w:val="00CE46D1"/>
    <w:rsid w:val="00CF7BFB"/>
    <w:rsid w:val="00D00E25"/>
    <w:rsid w:val="00D155D5"/>
    <w:rsid w:val="00D635FE"/>
    <w:rsid w:val="00D725D4"/>
    <w:rsid w:val="00D92265"/>
    <w:rsid w:val="00D93D29"/>
    <w:rsid w:val="00DA2AAE"/>
    <w:rsid w:val="00DB28AF"/>
    <w:rsid w:val="00DC31B4"/>
    <w:rsid w:val="00DC7249"/>
    <w:rsid w:val="00E03226"/>
    <w:rsid w:val="00E16340"/>
    <w:rsid w:val="00E1712D"/>
    <w:rsid w:val="00E365CA"/>
    <w:rsid w:val="00E6408E"/>
    <w:rsid w:val="00E76DB3"/>
    <w:rsid w:val="00E91EF1"/>
    <w:rsid w:val="00EA2832"/>
    <w:rsid w:val="00EC442B"/>
    <w:rsid w:val="00ED172B"/>
    <w:rsid w:val="00ED3B56"/>
    <w:rsid w:val="00EE7F19"/>
    <w:rsid w:val="00F06FFC"/>
    <w:rsid w:val="00F57559"/>
    <w:rsid w:val="00F849EE"/>
    <w:rsid w:val="00FA3E55"/>
    <w:rsid w:val="00FA7757"/>
    <w:rsid w:val="00FB031B"/>
    <w:rsid w:val="00FB5F0C"/>
    <w:rsid w:val="00FC3C91"/>
    <w:rsid w:val="00FC5100"/>
    <w:rsid w:val="00FD12C7"/>
    <w:rsid w:val="00FD66B8"/>
    <w:rsid w:val="00FF6E22"/>
    <w:rsid w:val="075117EF"/>
    <w:rsid w:val="21FD3FA3"/>
    <w:rsid w:val="237B1D76"/>
    <w:rsid w:val="32050FBE"/>
    <w:rsid w:val="379876BC"/>
    <w:rsid w:val="474F029E"/>
    <w:rsid w:val="496F78CD"/>
    <w:rsid w:val="4CCC164D"/>
    <w:rsid w:val="4FF9353D"/>
    <w:rsid w:val="629452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styleId="12">
    <w:name w:val="footnote reference"/>
    <w:basedOn w:val="10"/>
    <w:semiHidden/>
    <w:unhideWhenUsed/>
    <w:qFormat/>
    <w:uiPriority w:val="99"/>
    <w:rPr>
      <w:vertAlign w:val="superscript"/>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脚注文本 Char"/>
    <w:basedOn w:val="10"/>
    <w:link w:val="6"/>
    <w:semiHidden/>
    <w:qFormat/>
    <w:uiPriority w:val="99"/>
    <w:rPr>
      <w:sz w:val="18"/>
      <w:szCs w:val="18"/>
    </w:rPr>
  </w:style>
  <w:style w:type="table" w:customStyle="1" w:styleId="17">
    <w:name w:val="网格表 5 深色 - 着色 51"/>
    <w:basedOn w:val="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character" w:customStyle="1" w:styleId="18">
    <w:name w:val="未处理的提及1"/>
    <w:basedOn w:val="10"/>
    <w:semiHidden/>
    <w:unhideWhenUsed/>
    <w:qFormat/>
    <w:uiPriority w:val="99"/>
    <w:rPr>
      <w:color w:val="605E5C"/>
      <w:shd w:val="clear" w:color="auto" w:fill="E1DFDD"/>
    </w:rPr>
  </w:style>
  <w:style w:type="table" w:customStyle="1" w:styleId="19">
    <w:name w:val="网格表 5 深色 - 着色 61"/>
    <w:basedOn w:val="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0">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123040471005"/>
          <c:y val="0.0517281918645662"/>
          <c:w val="0.739057750759878"/>
          <c:h val="0.750687888678857"/>
        </c:manualLayout>
      </c:layout>
      <c:barChart>
        <c:barDir val="col"/>
        <c:grouping val="clustered"/>
        <c:varyColors val="0"/>
        <c:ser>
          <c:idx val="0"/>
          <c:order val="0"/>
          <c:tx>
            <c:strRef>
              <c:f>Sheet1!$B$1</c:f>
              <c:strCache>
                <c:ptCount val="1"/>
                <c:pt idx="0">
                  <c:v>执行案件收案</c:v>
                </c:pt>
              </c:strCache>
            </c:strRef>
          </c:tx>
          <c:spPr>
            <a:solidFill>
              <a:schemeClr val="accent1"/>
            </a:solidFill>
            <a:ln>
              <a:noFill/>
            </a:ln>
            <a:effectLst/>
          </c:spPr>
          <c:invertIfNegative val="0"/>
          <c:dLbls>
            <c:delete val="1"/>
          </c:dLbls>
          <c:cat>
            <c:numRef>
              <c:f>Sheet1!$A$2:$A$6</c:f>
              <c:numCache>
                <c:formatCode>General</c:formatCode>
                <c:ptCount val="5"/>
                <c:pt idx="0">
                  <c:v>2017</c:v>
                </c:pt>
                <c:pt idx="1">
                  <c:v>2018</c:v>
                </c:pt>
                <c:pt idx="2">
                  <c:v>2019</c:v>
                </c:pt>
                <c:pt idx="3">
                  <c:v>2020</c:v>
                </c:pt>
                <c:pt idx="4">
                  <c:v>2021</c:v>
                </c:pt>
              </c:numCache>
            </c:numRef>
          </c:cat>
          <c:val>
            <c:numRef>
              <c:f>Sheet1!$B$2:$B$6</c:f>
              <c:numCache>
                <c:formatCode>General</c:formatCode>
                <c:ptCount val="5"/>
                <c:pt idx="0">
                  <c:v>4882553</c:v>
                </c:pt>
                <c:pt idx="1">
                  <c:v>5164651</c:v>
                </c:pt>
                <c:pt idx="2">
                  <c:v>6447913</c:v>
                </c:pt>
                <c:pt idx="3">
                  <c:v>6527509</c:v>
                </c:pt>
                <c:pt idx="4">
                  <c:v>8507072</c:v>
                </c:pt>
              </c:numCache>
            </c:numRef>
          </c:val>
        </c:ser>
        <c:ser>
          <c:idx val="1"/>
          <c:order val="1"/>
          <c:tx>
            <c:strRef>
              <c:f>Sheet1!$C$1</c:f>
              <c:strCache>
                <c:ptCount val="1"/>
                <c:pt idx="0">
                  <c:v>裁定终结本次执行</c:v>
                </c:pt>
              </c:strCache>
            </c:strRef>
          </c:tx>
          <c:spPr>
            <a:solidFill>
              <a:schemeClr val="accent2"/>
            </a:solidFill>
            <a:ln>
              <a:noFill/>
            </a:ln>
            <a:effectLst/>
          </c:spPr>
          <c:invertIfNegative val="0"/>
          <c:dLbls>
            <c:delete val="1"/>
          </c:dLbls>
          <c:cat>
            <c:numRef>
              <c:f>Sheet1!$A$2:$A$6</c:f>
              <c:numCache>
                <c:formatCode>General</c:formatCode>
                <c:ptCount val="5"/>
                <c:pt idx="0">
                  <c:v>2017</c:v>
                </c:pt>
                <c:pt idx="1">
                  <c:v>2018</c:v>
                </c:pt>
                <c:pt idx="2">
                  <c:v>2019</c:v>
                </c:pt>
                <c:pt idx="3">
                  <c:v>2020</c:v>
                </c:pt>
                <c:pt idx="4">
                  <c:v>2021</c:v>
                </c:pt>
              </c:numCache>
            </c:numRef>
          </c:cat>
          <c:val>
            <c:numRef>
              <c:f>Sheet1!$C$2:$C$6</c:f>
              <c:numCache>
                <c:formatCode>General</c:formatCode>
                <c:ptCount val="5"/>
                <c:pt idx="0">
                  <c:v>2307606</c:v>
                </c:pt>
                <c:pt idx="1">
                  <c:v>2047547</c:v>
                </c:pt>
                <c:pt idx="2">
                  <c:v>2966244</c:v>
                </c:pt>
                <c:pt idx="3">
                  <c:v>3157036</c:v>
                </c:pt>
                <c:pt idx="4">
                  <c:v>3683066</c:v>
                </c:pt>
              </c:numCache>
            </c:numRef>
          </c:val>
        </c:ser>
        <c:dLbls>
          <c:showLegendKey val="0"/>
          <c:showVal val="0"/>
          <c:showCatName val="0"/>
          <c:showSerName val="0"/>
          <c:showPercent val="0"/>
          <c:showBubbleSize val="0"/>
        </c:dLbls>
        <c:gapWidth val="219"/>
        <c:overlap val="-27"/>
        <c:axId val="448103168"/>
        <c:axId val="448104704"/>
      </c:barChart>
      <c:lineChart>
        <c:grouping val="standard"/>
        <c:varyColors val="0"/>
        <c:ser>
          <c:idx val="2"/>
          <c:order val="2"/>
          <c:tx>
            <c:strRef>
              <c:f>Sheet1!$D$1</c:f>
              <c:strCache>
                <c:ptCount val="1"/>
                <c:pt idx="0">
                  <c:v>裁定终结本次执行占比</c:v>
                </c:pt>
              </c:strCache>
            </c:strRef>
          </c:tx>
          <c:spPr>
            <a:ln w="28575" cap="rnd" cmpd="sng" algn="ctr">
              <a:solidFill>
                <a:schemeClr val="accent3"/>
              </a:solidFill>
              <a:prstDash val="solid"/>
              <a:round/>
            </a:ln>
            <a:effectLst/>
          </c:spPr>
          <c:marker>
            <c:symbol val="none"/>
          </c:marker>
          <c:dLbls>
            <c:delete val="1"/>
          </c:dLbls>
          <c:cat>
            <c:numRef>
              <c:f>Sheet1!$A$2:$A$6</c:f>
              <c:numCache>
                <c:formatCode>General</c:formatCode>
                <c:ptCount val="5"/>
                <c:pt idx="0">
                  <c:v>2017</c:v>
                </c:pt>
                <c:pt idx="1">
                  <c:v>2018</c:v>
                </c:pt>
                <c:pt idx="2">
                  <c:v>2019</c:v>
                </c:pt>
                <c:pt idx="3">
                  <c:v>2020</c:v>
                </c:pt>
                <c:pt idx="4">
                  <c:v>2021</c:v>
                </c:pt>
              </c:numCache>
            </c:numRef>
          </c:cat>
          <c:val>
            <c:numRef>
              <c:f>Sheet1!$D$2:$D$6</c:f>
              <c:numCache>
                <c:formatCode>0.00%</c:formatCode>
                <c:ptCount val="5"/>
                <c:pt idx="0">
                  <c:v>0.472622826623695</c:v>
                </c:pt>
                <c:pt idx="1">
                  <c:v>0.396454087604371</c:v>
                </c:pt>
                <c:pt idx="2">
                  <c:v>0.46003164124578</c:v>
                </c:pt>
                <c:pt idx="3">
                  <c:v>0.483650960879564</c:v>
                </c:pt>
                <c:pt idx="4">
                  <c:v>0.432941674879441</c:v>
                </c:pt>
              </c:numCache>
            </c:numRef>
          </c:val>
          <c:smooth val="0"/>
        </c:ser>
        <c:dLbls>
          <c:showLegendKey val="0"/>
          <c:showVal val="0"/>
          <c:showCatName val="0"/>
          <c:showSerName val="0"/>
          <c:showPercent val="0"/>
          <c:showBubbleSize val="0"/>
        </c:dLbls>
        <c:marker val="0"/>
        <c:smooth val="0"/>
        <c:axId val="448122880"/>
        <c:axId val="448124416"/>
      </c:lineChart>
      <c:catAx>
        <c:axId val="44810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104704"/>
        <c:crosses val="autoZero"/>
        <c:auto val="1"/>
        <c:lblAlgn val="ctr"/>
        <c:lblOffset val="100"/>
        <c:noMultiLvlLbl val="0"/>
      </c:catAx>
      <c:valAx>
        <c:axId val="4481047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103168"/>
        <c:crosses val="autoZero"/>
        <c:crossBetween val="between"/>
      </c:valAx>
      <c:catAx>
        <c:axId val="44812288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8124416"/>
        <c:crosses val="autoZero"/>
        <c:auto val="1"/>
        <c:lblAlgn val="ctr"/>
        <c:lblOffset val="100"/>
        <c:noMultiLvlLbl val="0"/>
      </c:catAx>
      <c:valAx>
        <c:axId val="448124416"/>
        <c:scaling>
          <c:orientation val="minMax"/>
        </c:scaling>
        <c:delete val="0"/>
        <c:axPos val="r"/>
        <c:numFmt formatCode="0.00%"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8122880"/>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楷体_GB2312" pitchFamily="3"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D9B62-21F8-487C-B888-19E13AD7E6C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11155</Words>
  <Characters>11281</Characters>
  <Lines>225</Lines>
  <Paragraphs>58</Paragraphs>
  <TotalTime>2128</TotalTime>
  <ScaleCrop>false</ScaleCrop>
  <LinksUpToDate>false</LinksUpToDate>
  <CharactersWithSpaces>11292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2022-10-10T12:04:00Z</dcterms:created>
  <dc:creator>张 雅雯</dc:creator>
  <cp:lastModifiedBy>hp</cp:lastModifiedBy>
  <cp:lastPrinted>2023-01-05T06:44:00Z</cp:lastPrinted>
  <dcterms:modified xsi:type="dcterms:W3CDTF">2023-06-16T02:51:52Z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BA042A6E5F5C48DFA084A3FFFD9A79FB</vt:lpwstr>
  </property>
</Properties>
</file>